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33491D" w14:textId="40318617" w:rsidR="00DE6F11" w:rsidRPr="00074A56" w:rsidRDefault="00DE6F11" w:rsidP="00074A56">
      <w:pPr>
        <w:pStyle w:val="Titre"/>
        <w:spacing w:after="0" w:line="360" w:lineRule="auto"/>
        <w:rPr>
          <w:rFonts w:ascii="Times New Roman" w:hAnsi="Times New Roman" w:cs="Times New Roman"/>
          <w:sz w:val="24"/>
          <w:szCs w:val="24"/>
          <w:lang w:val="en-GB"/>
        </w:rPr>
      </w:pPr>
      <w:r w:rsidRPr="00074A56">
        <w:rPr>
          <w:rFonts w:ascii="Times New Roman" w:hAnsi="Times New Roman" w:cs="Times New Roman"/>
          <w:noProof/>
          <w:sz w:val="24"/>
          <w:szCs w:val="24"/>
          <w:lang w:val="en-GB"/>
        </w:rPr>
        <w:drawing>
          <wp:inline distT="0" distB="0" distL="0" distR="0" wp14:anchorId="46F1EB35" wp14:editId="7C6A2949">
            <wp:extent cx="2788701" cy="3905250"/>
            <wp:effectExtent l="0" t="0" r="0" b="0"/>
            <wp:docPr id="3" name="Imagen 2">
              <a:extLst xmlns:a="http://schemas.openxmlformats.org/drawingml/2006/main">
                <a:ext uri="{FF2B5EF4-FFF2-40B4-BE49-F238E27FC236}">
                  <a16:creationId xmlns:a16="http://schemas.microsoft.com/office/drawing/2014/main" id="{92363AED-A066-8090-7FF2-08B4501A5F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92363AED-A066-8090-7FF2-08B4501A5FB9}"/>
                        </a:ext>
                      </a:extLst>
                    </pic:cNvPr>
                    <pic:cNvPicPr>
                      <a:picLocks noChangeAspect="1"/>
                    </pic:cNvPicPr>
                  </pic:nvPicPr>
                  <pic:blipFill>
                    <a:blip r:embed="rId8"/>
                    <a:stretch>
                      <a:fillRect/>
                    </a:stretch>
                  </pic:blipFill>
                  <pic:spPr>
                    <a:xfrm>
                      <a:off x="0" y="0"/>
                      <a:ext cx="2791594" cy="3909302"/>
                    </a:xfrm>
                    <a:prstGeom prst="rect">
                      <a:avLst/>
                    </a:prstGeom>
                  </pic:spPr>
                </pic:pic>
              </a:graphicData>
            </a:graphic>
          </wp:inline>
        </w:drawing>
      </w:r>
    </w:p>
    <w:p w14:paraId="40035E00" w14:textId="77777777" w:rsidR="00DB0675" w:rsidRDefault="00DB0675" w:rsidP="00DB0675">
      <w:pPr>
        <w:spacing w:after="0" w:line="360" w:lineRule="auto"/>
        <w:rPr>
          <w:rFonts w:cs="Times New Roman"/>
          <w:lang w:val="en-GB"/>
        </w:rPr>
      </w:pPr>
      <w:r w:rsidRPr="00074A56">
        <w:rPr>
          <w:rFonts w:cs="Times New Roman"/>
          <w:lang w:val="en-GB"/>
        </w:rPr>
        <w:t xml:space="preserve">The </w:t>
      </w:r>
      <w:r w:rsidRPr="00074A56">
        <w:rPr>
          <w:rFonts w:cs="Times New Roman"/>
          <w:i/>
          <w:iCs/>
          <w:lang w:val="en-GB"/>
        </w:rPr>
        <w:t>Handbook on Federalism in Ibero-America</w:t>
      </w:r>
      <w:r w:rsidRPr="00074A56">
        <w:rPr>
          <w:rFonts w:cs="Times New Roman"/>
          <w:lang w:val="en-GB"/>
        </w:rPr>
        <w:t xml:space="preserve"> will be available Open Access in November 2026.</w:t>
      </w:r>
    </w:p>
    <w:p w14:paraId="4AEFAF8C" w14:textId="77777777" w:rsidR="00DE6F11" w:rsidRPr="00074A56" w:rsidRDefault="00DE6F11" w:rsidP="00074A56">
      <w:pPr>
        <w:pStyle w:val="Titre"/>
        <w:spacing w:after="0" w:line="360" w:lineRule="auto"/>
        <w:rPr>
          <w:rFonts w:ascii="Times New Roman" w:hAnsi="Times New Roman" w:cs="Times New Roman"/>
          <w:sz w:val="24"/>
          <w:szCs w:val="24"/>
          <w:lang w:val="en-GB"/>
        </w:rPr>
      </w:pPr>
    </w:p>
    <w:p w14:paraId="573BD079" w14:textId="77777777" w:rsidR="00DE6F11" w:rsidRPr="00074A56" w:rsidRDefault="00DE6F11" w:rsidP="00074A56">
      <w:pPr>
        <w:pStyle w:val="Titre"/>
        <w:spacing w:after="0" w:line="360" w:lineRule="auto"/>
        <w:rPr>
          <w:rFonts w:ascii="Times New Roman" w:hAnsi="Times New Roman" w:cs="Times New Roman"/>
          <w:sz w:val="24"/>
          <w:szCs w:val="24"/>
          <w:lang w:val="en-GB"/>
        </w:rPr>
      </w:pPr>
    </w:p>
    <w:p w14:paraId="26AB256F" w14:textId="33883BA8" w:rsidR="002D28B7" w:rsidRPr="00074A56" w:rsidRDefault="00000000" w:rsidP="00074A56">
      <w:pPr>
        <w:pStyle w:val="Titre"/>
        <w:spacing w:after="0" w:line="360" w:lineRule="auto"/>
        <w:rPr>
          <w:rFonts w:ascii="Times New Roman" w:hAnsi="Times New Roman" w:cs="Times New Roman"/>
          <w:b/>
          <w:bCs/>
          <w:sz w:val="24"/>
          <w:szCs w:val="24"/>
          <w:lang w:val="en-GB"/>
        </w:rPr>
      </w:pPr>
      <w:r w:rsidRPr="00074A56">
        <w:rPr>
          <w:rFonts w:ascii="Times New Roman" w:hAnsi="Times New Roman" w:cs="Times New Roman"/>
          <w:b/>
          <w:bCs/>
          <w:sz w:val="24"/>
          <w:szCs w:val="24"/>
          <w:lang w:val="en-GB"/>
        </w:rPr>
        <w:t>Federalism in Ibero-America</w:t>
      </w:r>
      <w:r w:rsidR="007F666A">
        <w:rPr>
          <w:rFonts w:ascii="Times New Roman" w:hAnsi="Times New Roman" w:cs="Times New Roman"/>
          <w:b/>
          <w:bCs/>
          <w:sz w:val="24"/>
          <w:szCs w:val="24"/>
          <w:lang w:val="en-GB"/>
        </w:rPr>
        <w:t>.</w:t>
      </w:r>
      <w:r w:rsidRPr="00074A56">
        <w:rPr>
          <w:rFonts w:ascii="Times New Roman" w:hAnsi="Times New Roman" w:cs="Times New Roman"/>
          <w:b/>
          <w:bCs/>
          <w:sz w:val="24"/>
          <w:szCs w:val="24"/>
          <w:lang w:val="en-GB"/>
        </w:rPr>
        <w:t xml:space="preserve"> A Comparative Analysis</w:t>
      </w:r>
    </w:p>
    <w:p w14:paraId="7921240F" w14:textId="77777777" w:rsidR="00DE6F11" w:rsidRPr="00074A56" w:rsidRDefault="00DE6F11" w:rsidP="00074A56">
      <w:pPr>
        <w:spacing w:after="0" w:line="360" w:lineRule="auto"/>
        <w:rPr>
          <w:rFonts w:cs="Times New Roman"/>
          <w:lang w:val="en-GB"/>
        </w:rPr>
      </w:pPr>
    </w:p>
    <w:p w14:paraId="0EC7D663" w14:textId="6ECE3DAE" w:rsidR="002D28B7" w:rsidRPr="00074A56" w:rsidRDefault="00000000" w:rsidP="009360A1">
      <w:pPr>
        <w:rPr>
          <w:rFonts w:cs="Times New Roman"/>
          <w:lang w:val="en-GB"/>
        </w:rPr>
      </w:pPr>
      <w:r w:rsidRPr="00074A56">
        <w:rPr>
          <w:rFonts w:cs="Times New Roman"/>
          <w:lang w:val="en-GB"/>
        </w:rPr>
        <w:t xml:space="preserve">Eduardo Grin is an associate professor at </w:t>
      </w:r>
      <w:proofErr w:type="spellStart"/>
      <w:r w:rsidRPr="00074A56">
        <w:rPr>
          <w:rFonts w:cs="Times New Roman"/>
          <w:lang w:val="en-GB"/>
        </w:rPr>
        <w:t>Fundação</w:t>
      </w:r>
      <w:proofErr w:type="spellEnd"/>
      <w:r w:rsidRPr="00074A56">
        <w:rPr>
          <w:rFonts w:cs="Times New Roman"/>
          <w:lang w:val="en-GB"/>
        </w:rPr>
        <w:t xml:space="preserve"> Getulio Vargas (Brazil), professor at the Universidad del Valle (Colombia) and at the National School of Public Administration (Brazil).</w:t>
      </w:r>
    </w:p>
    <w:p w14:paraId="23785D3F" w14:textId="77777777" w:rsidR="002D28B7" w:rsidRPr="00074A56" w:rsidRDefault="00000000" w:rsidP="009360A1">
      <w:pPr>
        <w:rPr>
          <w:rFonts w:cs="Times New Roman"/>
          <w:lang w:val="en-GB"/>
        </w:rPr>
      </w:pPr>
      <w:r w:rsidRPr="00074A56">
        <w:rPr>
          <w:rFonts w:cs="Times New Roman"/>
          <w:lang w:val="en-GB"/>
        </w:rPr>
        <w:t>Johanna Schnabel is a lecturer and researcher at the Chair of German Politics, Otto Suhr Institute of Political Science, Freie Universität Berlin.</w:t>
      </w:r>
    </w:p>
    <w:p w14:paraId="5B9E0616" w14:textId="77777777" w:rsidR="002D28B7" w:rsidRPr="00074A56" w:rsidRDefault="00000000" w:rsidP="009360A1">
      <w:pPr>
        <w:rPr>
          <w:rFonts w:cs="Times New Roman"/>
          <w:lang w:val="en-GB"/>
        </w:rPr>
      </w:pPr>
      <w:r w:rsidRPr="00074A56">
        <w:rPr>
          <w:rFonts w:cs="Times New Roman"/>
          <w:lang w:val="en-GB"/>
        </w:rPr>
        <w:t xml:space="preserve">Mario </w:t>
      </w:r>
      <w:proofErr w:type="spellStart"/>
      <w:r w:rsidRPr="00074A56">
        <w:rPr>
          <w:rFonts w:cs="Times New Roman"/>
          <w:lang w:val="en-GB"/>
        </w:rPr>
        <w:t>Kölling</w:t>
      </w:r>
      <w:proofErr w:type="spellEnd"/>
      <w:r w:rsidRPr="00074A56">
        <w:rPr>
          <w:rFonts w:cs="Times New Roman"/>
          <w:lang w:val="en-GB"/>
        </w:rPr>
        <w:t xml:space="preserve"> is a professor at the Department of Political Science, Spanish National Distance Education University (UNED) in Madrid, and senior researcher at the Fundación Manuel Giménez Abad in Zaragoza.</w:t>
      </w:r>
    </w:p>
    <w:p w14:paraId="585C6FC7" w14:textId="77777777" w:rsidR="002D28B7" w:rsidRPr="00074A56" w:rsidRDefault="00000000" w:rsidP="009360A1">
      <w:pPr>
        <w:rPr>
          <w:rFonts w:cs="Times New Roman"/>
          <w:lang w:val="en-GB"/>
        </w:rPr>
      </w:pPr>
      <w:r w:rsidRPr="00074A56">
        <w:rPr>
          <w:rFonts w:cs="Times New Roman"/>
          <w:lang w:val="en-GB"/>
        </w:rPr>
        <w:t xml:space="preserve">Joel Mendoza Ruiz is a full-time research professor, level “D”, at the Autonomous University of the State of Mexico, currently affiliated with the </w:t>
      </w:r>
      <w:proofErr w:type="spellStart"/>
      <w:r w:rsidRPr="00074A56">
        <w:rPr>
          <w:rFonts w:cs="Times New Roman"/>
          <w:lang w:val="en-GB"/>
        </w:rPr>
        <w:t>Cuautitlán</w:t>
      </w:r>
      <w:proofErr w:type="spellEnd"/>
      <w:r w:rsidRPr="00074A56">
        <w:rPr>
          <w:rFonts w:cs="Times New Roman"/>
          <w:lang w:val="en-GB"/>
        </w:rPr>
        <w:t xml:space="preserve"> Izcalli Professional Academic Unit.</w:t>
      </w:r>
    </w:p>
    <w:p w14:paraId="0164CE91" w14:textId="77777777" w:rsidR="005033E6" w:rsidRDefault="005033E6" w:rsidP="00074A56">
      <w:pPr>
        <w:spacing w:after="0" w:line="360" w:lineRule="auto"/>
        <w:rPr>
          <w:rFonts w:cs="Times New Roman"/>
          <w:lang w:val="en-GB"/>
        </w:rPr>
      </w:pPr>
    </w:p>
    <w:p w14:paraId="42677F5E" w14:textId="77777777" w:rsidR="009360A1" w:rsidRDefault="009360A1" w:rsidP="00074A56">
      <w:pPr>
        <w:spacing w:after="0" w:line="360" w:lineRule="auto"/>
        <w:rPr>
          <w:rFonts w:cs="Times New Roman"/>
          <w:lang w:val="en-GB"/>
        </w:rPr>
      </w:pPr>
    </w:p>
    <w:p w14:paraId="408C84CE" w14:textId="77777777" w:rsidR="009360A1" w:rsidRPr="00074A56" w:rsidRDefault="009360A1" w:rsidP="00074A56">
      <w:pPr>
        <w:spacing w:after="0" w:line="360" w:lineRule="auto"/>
        <w:rPr>
          <w:rFonts w:cs="Times New Roman"/>
          <w:lang w:val="en-GB"/>
        </w:rPr>
      </w:pPr>
    </w:p>
    <w:p w14:paraId="5463C5AB" w14:textId="77777777" w:rsidR="005033E6" w:rsidRPr="00074A56" w:rsidRDefault="005033E6" w:rsidP="00074A56">
      <w:pPr>
        <w:spacing w:after="0" w:line="360" w:lineRule="auto"/>
        <w:rPr>
          <w:rFonts w:cs="Times New Roman"/>
          <w:b/>
          <w:bCs/>
          <w:lang w:val="en-GB"/>
        </w:rPr>
      </w:pPr>
      <w:r w:rsidRPr="00074A56">
        <w:rPr>
          <w:rFonts w:cs="Times New Roman"/>
          <w:b/>
          <w:bCs/>
          <w:lang w:val="en-GB"/>
        </w:rPr>
        <w:lastRenderedPageBreak/>
        <w:t>1. Introduction</w:t>
      </w:r>
    </w:p>
    <w:p w14:paraId="13AED3A1" w14:textId="4617EA72" w:rsidR="005033E6" w:rsidRPr="00074A56" w:rsidRDefault="005033E6" w:rsidP="009360A1">
      <w:pPr>
        <w:rPr>
          <w:lang w:val="en-GB"/>
        </w:rPr>
      </w:pPr>
      <w:r w:rsidRPr="00074A56">
        <w:rPr>
          <w:lang w:val="en-GB"/>
        </w:rPr>
        <w:t xml:space="preserve">Comparative federalism has been built largely on a small set of "classical" cases: the </w:t>
      </w:r>
      <w:r w:rsidR="009360A1">
        <w:rPr>
          <w:lang w:val="en-GB"/>
        </w:rPr>
        <w:t xml:space="preserve">Australia, </w:t>
      </w:r>
      <w:r w:rsidRPr="00074A56">
        <w:rPr>
          <w:lang w:val="en-GB"/>
        </w:rPr>
        <w:t xml:space="preserve">Canada, </w:t>
      </w:r>
      <w:r w:rsidR="009360A1">
        <w:rPr>
          <w:lang w:val="en-GB"/>
        </w:rPr>
        <w:t xml:space="preserve">Germany, </w:t>
      </w:r>
      <w:r w:rsidRPr="00074A56">
        <w:rPr>
          <w:lang w:val="en-GB"/>
        </w:rPr>
        <w:t>Switzerland</w:t>
      </w:r>
      <w:r w:rsidR="009360A1">
        <w:rPr>
          <w:lang w:val="en-GB"/>
        </w:rPr>
        <w:t>,</w:t>
      </w:r>
      <w:r w:rsidRPr="00074A56">
        <w:rPr>
          <w:lang w:val="en-GB"/>
        </w:rPr>
        <w:t xml:space="preserve"> and </w:t>
      </w:r>
      <w:r w:rsidR="009360A1" w:rsidRPr="00074A56">
        <w:rPr>
          <w:lang w:val="en-GB"/>
        </w:rPr>
        <w:t>United States</w:t>
      </w:r>
      <w:r w:rsidRPr="00074A56">
        <w:rPr>
          <w:lang w:val="en-GB"/>
        </w:rPr>
        <w:t xml:space="preserve">. Federal and quasi-federal systems in Ibero-America have received much </w:t>
      </w:r>
      <w:proofErr w:type="gramStart"/>
      <w:r w:rsidRPr="00074A56">
        <w:rPr>
          <w:lang w:val="en-GB"/>
        </w:rPr>
        <w:t xml:space="preserve">less </w:t>
      </w:r>
      <w:r w:rsidR="009360A1">
        <w:rPr>
          <w:lang w:val="en-GB"/>
        </w:rPr>
        <w:t>broader</w:t>
      </w:r>
      <w:proofErr w:type="gramEnd"/>
      <w:r w:rsidR="009360A1" w:rsidRPr="00074A56">
        <w:rPr>
          <w:lang w:val="en-GB"/>
        </w:rPr>
        <w:t xml:space="preserve"> </w:t>
      </w:r>
      <w:r w:rsidRPr="00074A56">
        <w:rPr>
          <w:lang w:val="en-GB"/>
        </w:rPr>
        <w:t>attention, and when the</w:t>
      </w:r>
      <w:r w:rsidR="009360A1">
        <w:rPr>
          <w:lang w:val="en-GB"/>
        </w:rPr>
        <w:t>se countries</w:t>
      </w:r>
      <w:r w:rsidRPr="00074A56">
        <w:rPr>
          <w:lang w:val="en-GB"/>
        </w:rPr>
        <w:t xml:space="preserve"> are studied, it is mostly as </w:t>
      </w:r>
      <w:r w:rsidR="009360A1">
        <w:rPr>
          <w:lang w:val="en-GB"/>
        </w:rPr>
        <w:t xml:space="preserve">individual </w:t>
      </w:r>
      <w:r w:rsidRPr="00074A56">
        <w:rPr>
          <w:lang w:val="en-GB"/>
        </w:rPr>
        <w:t>cases or within a regional literature</w:t>
      </w:r>
      <w:r w:rsidR="009360A1">
        <w:rPr>
          <w:lang w:val="en-GB"/>
        </w:rPr>
        <w:t>, typically in Portuguese or Spanish,</w:t>
      </w:r>
      <w:r w:rsidRPr="00074A56">
        <w:rPr>
          <w:lang w:val="en-GB"/>
        </w:rPr>
        <w:t xml:space="preserve"> that rarely speaks to the broader field. Our Handbook on Federalism in Ibero-America tries to fill this gap.</w:t>
      </w:r>
    </w:p>
    <w:p w14:paraId="34F98036" w14:textId="6A076894" w:rsidR="005033E6" w:rsidRPr="00074A56" w:rsidRDefault="005033E6" w:rsidP="009360A1">
      <w:pPr>
        <w:rPr>
          <w:lang w:val="en-GB"/>
        </w:rPr>
      </w:pPr>
      <w:r w:rsidRPr="00074A56">
        <w:rPr>
          <w:lang w:val="en-GB"/>
        </w:rPr>
        <w:t xml:space="preserve">The analysis covers Argentina, Brazil, Mexico and Spain. The three Latin American </w:t>
      </w:r>
      <w:r w:rsidR="009360A1">
        <w:rPr>
          <w:lang w:val="en-GB"/>
        </w:rPr>
        <w:t>countries</w:t>
      </w:r>
      <w:r w:rsidR="009360A1" w:rsidRPr="00074A56">
        <w:rPr>
          <w:lang w:val="en-GB"/>
        </w:rPr>
        <w:t xml:space="preserve"> </w:t>
      </w:r>
      <w:r w:rsidRPr="00074A56">
        <w:rPr>
          <w:lang w:val="en-GB"/>
        </w:rPr>
        <w:t xml:space="preserve">are </w:t>
      </w:r>
      <w:r w:rsidR="009360A1">
        <w:rPr>
          <w:lang w:val="en-GB"/>
        </w:rPr>
        <w:t xml:space="preserve">officially </w:t>
      </w:r>
      <w:r w:rsidRPr="00074A56">
        <w:rPr>
          <w:lang w:val="en-GB"/>
        </w:rPr>
        <w:t>federations</w:t>
      </w:r>
      <w:r w:rsidR="009360A1">
        <w:rPr>
          <w:lang w:val="en-GB"/>
        </w:rPr>
        <w:t xml:space="preserve"> according to their </w:t>
      </w:r>
      <w:r w:rsidRPr="00074A56">
        <w:rPr>
          <w:lang w:val="en-GB"/>
        </w:rPr>
        <w:t>constitution</w:t>
      </w:r>
      <w:r w:rsidR="009360A1">
        <w:rPr>
          <w:lang w:val="en-GB"/>
        </w:rPr>
        <w:t>s</w:t>
      </w:r>
      <w:r w:rsidR="00074A56" w:rsidRPr="00074A56">
        <w:rPr>
          <w:lang w:val="en-GB"/>
        </w:rPr>
        <w:t>.</w:t>
      </w:r>
      <w:r w:rsidRPr="00074A56">
        <w:rPr>
          <w:lang w:val="en-GB"/>
        </w:rPr>
        <w:t xml:space="preserve"> Spain's State of Autonomies is not </w:t>
      </w:r>
      <w:r w:rsidR="009360A1">
        <w:rPr>
          <w:lang w:val="en-GB"/>
        </w:rPr>
        <w:t>officially</w:t>
      </w:r>
      <w:r w:rsidR="009360A1" w:rsidRPr="00074A56">
        <w:rPr>
          <w:lang w:val="en-GB"/>
        </w:rPr>
        <w:t xml:space="preserve"> </w:t>
      </w:r>
      <w:r w:rsidRPr="00074A56">
        <w:rPr>
          <w:lang w:val="en-GB"/>
        </w:rPr>
        <w:t xml:space="preserve">federal, </w:t>
      </w:r>
      <w:r w:rsidR="009360A1">
        <w:rPr>
          <w:lang w:val="en-GB"/>
        </w:rPr>
        <w:t xml:space="preserve">the Spanish Constitution not even mentioning the term, </w:t>
      </w:r>
      <w:r w:rsidRPr="00074A56">
        <w:rPr>
          <w:lang w:val="en-GB"/>
        </w:rPr>
        <w:t xml:space="preserve">but it is widely regarded as </w:t>
      </w:r>
      <w:r w:rsidR="009360A1">
        <w:rPr>
          <w:lang w:val="en-GB"/>
        </w:rPr>
        <w:t xml:space="preserve">having federal features </w:t>
      </w:r>
      <w:r w:rsidR="009E38E1">
        <w:rPr>
          <w:lang w:val="en-GB"/>
        </w:rPr>
        <w:t xml:space="preserve">(Tudela &amp; </w:t>
      </w:r>
      <w:proofErr w:type="spellStart"/>
      <w:r w:rsidR="009E38E1">
        <w:rPr>
          <w:lang w:val="en-GB"/>
        </w:rPr>
        <w:t>Kölling</w:t>
      </w:r>
      <w:proofErr w:type="spellEnd"/>
      <w:r w:rsidR="009E38E1">
        <w:rPr>
          <w:lang w:val="en-GB"/>
        </w:rPr>
        <w:t>, 2020</w:t>
      </w:r>
      <w:r w:rsidR="009360A1">
        <w:rPr>
          <w:lang w:val="en-GB"/>
        </w:rPr>
        <w:t>]</w:t>
      </w:r>
      <w:r w:rsidRPr="00074A56">
        <w:rPr>
          <w:lang w:val="en-GB"/>
        </w:rPr>
        <w:t xml:space="preserve">. </w:t>
      </w:r>
      <w:r w:rsidR="009360A1">
        <w:rPr>
          <w:lang w:val="en-GB"/>
        </w:rPr>
        <w:t>The c</w:t>
      </w:r>
      <w:r w:rsidRPr="00074A56">
        <w:rPr>
          <w:lang w:val="en-GB"/>
        </w:rPr>
        <w:t xml:space="preserve">omparison </w:t>
      </w:r>
      <w:r w:rsidR="009360A1">
        <w:rPr>
          <w:lang w:val="en-GB"/>
        </w:rPr>
        <w:t xml:space="preserve">of these four countries </w:t>
      </w:r>
      <w:r w:rsidRPr="00074A56">
        <w:rPr>
          <w:lang w:val="en-GB"/>
        </w:rPr>
        <w:t>rests on shared historical and legal traditions</w:t>
      </w:r>
      <w:r w:rsidR="009360A1">
        <w:rPr>
          <w:lang w:val="en-GB"/>
        </w:rPr>
        <w:t xml:space="preserve">, including </w:t>
      </w:r>
      <w:r w:rsidRPr="00074A56">
        <w:rPr>
          <w:lang w:val="en-GB"/>
        </w:rPr>
        <w:t>colonialism and Catholicism, a common legal culture</w:t>
      </w:r>
      <w:r w:rsidR="009360A1">
        <w:rPr>
          <w:lang w:val="en-GB"/>
        </w:rPr>
        <w:t>,</w:t>
      </w:r>
      <w:r w:rsidRPr="00074A56">
        <w:rPr>
          <w:lang w:val="en-GB"/>
        </w:rPr>
        <w:t xml:space="preserve"> and</w:t>
      </w:r>
      <w:r w:rsidR="009360A1">
        <w:rPr>
          <w:lang w:val="en-GB"/>
        </w:rPr>
        <w:t xml:space="preserve"> </w:t>
      </w:r>
      <w:r w:rsidRPr="00074A56">
        <w:rPr>
          <w:lang w:val="en-GB"/>
        </w:rPr>
        <w:t>a recent authoritarian experience. In all four countries, federalism can only be understood against the backdrop of this authoritarian past. In Argentina, Brazil and Mexico, the constituent units retained some degree of autonomy during the different dictatorships, albeit with diminished powers. In Spain, by contrast, regional institutions had to be (re)created after Franco. In all four cases, federalism and the transition to democracy were part and parcel, as was the case in Germany, even though for different reasons.</w:t>
      </w:r>
    </w:p>
    <w:p w14:paraId="56086827" w14:textId="7D2C4027" w:rsidR="005033E6" w:rsidRPr="00074A56" w:rsidRDefault="005033E6" w:rsidP="009360A1">
      <w:pPr>
        <w:rPr>
          <w:lang w:val="en-GB"/>
        </w:rPr>
      </w:pPr>
      <w:r w:rsidRPr="00074A56">
        <w:rPr>
          <w:lang w:val="en-GB"/>
        </w:rPr>
        <w:t xml:space="preserve">Whether these </w:t>
      </w:r>
      <w:r w:rsidR="00074A56">
        <w:rPr>
          <w:lang w:val="en-GB"/>
        </w:rPr>
        <w:t xml:space="preserve">shared </w:t>
      </w:r>
      <w:r w:rsidR="00074A56" w:rsidRPr="00074A56">
        <w:rPr>
          <w:lang w:val="en-GB"/>
        </w:rPr>
        <w:t>historical and legal traditions</w:t>
      </w:r>
      <w:r w:rsidRPr="00074A56">
        <w:rPr>
          <w:lang w:val="en-GB"/>
        </w:rPr>
        <w:t xml:space="preserve"> translate into a common federal design is precisely the question</w:t>
      </w:r>
      <w:r w:rsidR="009360A1">
        <w:rPr>
          <w:lang w:val="en-GB"/>
        </w:rPr>
        <w:t xml:space="preserve"> the Handbook sets out to answer</w:t>
      </w:r>
      <w:r w:rsidRPr="00074A56">
        <w:rPr>
          <w:lang w:val="en-GB"/>
        </w:rPr>
        <w:t xml:space="preserve">. Studying these cases as federations is a matter of classification. </w:t>
      </w:r>
      <w:r w:rsidR="009360A1">
        <w:rPr>
          <w:lang w:val="en-GB"/>
        </w:rPr>
        <w:t>I</w:t>
      </w:r>
      <w:r w:rsidR="009360A1" w:rsidRPr="00074A56">
        <w:rPr>
          <w:lang w:val="en-GB"/>
        </w:rPr>
        <w:t>t allows us to test whether concepts developed for classical federations travel to systems shaped by different historical trajectories</w:t>
      </w:r>
      <w:r w:rsidR="009360A1">
        <w:rPr>
          <w:lang w:val="en-GB"/>
        </w:rPr>
        <w:t xml:space="preserve"> and examine how the four Ibero-American countries compare to the classical cases</w:t>
      </w:r>
      <w:r w:rsidR="009360A1" w:rsidRPr="00074A56">
        <w:rPr>
          <w:lang w:val="en-GB"/>
        </w:rPr>
        <w:t>.</w:t>
      </w:r>
      <w:r w:rsidR="009360A1">
        <w:rPr>
          <w:lang w:val="en-GB"/>
        </w:rPr>
        <w:t xml:space="preserve"> However, it is also about more than classification. Understanding the federal nature and operation of federalism in Argentina, Mexico, Brazil, and Spain </w:t>
      </w:r>
      <w:r w:rsidRPr="00074A56">
        <w:rPr>
          <w:lang w:val="en-GB"/>
        </w:rPr>
        <w:t xml:space="preserve">is necessary for understanding how public policy is made and delivered, and </w:t>
      </w:r>
      <w:r w:rsidR="009360A1">
        <w:rPr>
          <w:lang w:val="en-GB"/>
        </w:rPr>
        <w:t>how these countries deal with the challenges of modern democratic governance.</w:t>
      </w:r>
    </w:p>
    <w:p w14:paraId="468F1322" w14:textId="02F99342" w:rsidR="003F525F" w:rsidRDefault="009360A1" w:rsidP="009360A1">
      <w:pPr>
        <w:rPr>
          <w:lang w:val="en-GB"/>
        </w:rPr>
      </w:pPr>
      <w:bookmarkStart w:id="0" w:name="Xa81811d2a8f0975f41a0dbb7dacc20f7c6541b6"/>
      <w:r>
        <w:rPr>
          <w:lang w:val="en-GB"/>
        </w:rPr>
        <w:t>The book</w:t>
      </w:r>
      <w:r w:rsidRPr="00DB0675">
        <w:rPr>
          <w:lang w:val="en-GB"/>
        </w:rPr>
        <w:t xml:space="preserve"> </w:t>
      </w:r>
      <w:r>
        <w:rPr>
          <w:lang w:val="en-GB"/>
        </w:rPr>
        <w:t xml:space="preserve">has </w:t>
      </w:r>
      <w:r w:rsidR="00DB0675" w:rsidRPr="00DB0675">
        <w:rPr>
          <w:lang w:val="en-GB"/>
        </w:rPr>
        <w:t xml:space="preserve">two </w:t>
      </w:r>
      <w:r>
        <w:rPr>
          <w:lang w:val="en-GB"/>
        </w:rPr>
        <w:t xml:space="preserve">main </w:t>
      </w:r>
      <w:r w:rsidR="00DB0675" w:rsidRPr="00DB0675">
        <w:rPr>
          <w:lang w:val="en-GB"/>
        </w:rPr>
        <w:t>objectives. The first is an assessment of whether these countries are federations</w:t>
      </w:r>
      <w:r>
        <w:rPr>
          <w:lang w:val="en-GB"/>
        </w:rPr>
        <w:t>,</w:t>
      </w:r>
      <w:r w:rsidR="00DB0675" w:rsidRPr="00DB0675">
        <w:rPr>
          <w:lang w:val="en-GB"/>
        </w:rPr>
        <w:t xml:space="preserve"> </w:t>
      </w:r>
      <w:r>
        <w:rPr>
          <w:lang w:val="en-GB"/>
        </w:rPr>
        <w:t xml:space="preserve">that is </w:t>
      </w:r>
      <w:r w:rsidR="00DB0675" w:rsidRPr="00DB0675">
        <w:rPr>
          <w:lang w:val="en-GB"/>
        </w:rPr>
        <w:t>to what extent their constituent units enjoy meaningful autonomy</w:t>
      </w:r>
      <w:r>
        <w:rPr>
          <w:lang w:val="en-GB"/>
        </w:rPr>
        <w:t xml:space="preserve"> vis-à-vis a strong central government</w:t>
      </w:r>
      <w:r w:rsidR="00DB0675" w:rsidRPr="00DB0675">
        <w:rPr>
          <w:lang w:val="en-GB"/>
        </w:rPr>
        <w:t>. The second objective is to compare these countries and establish whether there is a distinct Ibero-American model of federalism</w:t>
      </w:r>
      <w:r>
        <w:rPr>
          <w:lang w:val="en-GB"/>
        </w:rPr>
        <w:t>—</w:t>
      </w:r>
      <w:r w:rsidR="00DB0675" w:rsidRPr="00DB0675">
        <w:rPr>
          <w:lang w:val="en-GB"/>
        </w:rPr>
        <w:t>or if the structural, constitutional and institutional characteristics and dynamics of these cases conform to patterns observed elsewhere.</w:t>
      </w:r>
    </w:p>
    <w:p w14:paraId="19B3D6D5" w14:textId="77777777" w:rsidR="00DB0675" w:rsidRDefault="00DB0675" w:rsidP="00B154F7">
      <w:pPr>
        <w:spacing w:after="0" w:line="360" w:lineRule="auto"/>
        <w:rPr>
          <w:rFonts w:cs="Times New Roman"/>
          <w:lang w:val="en-GB"/>
        </w:rPr>
      </w:pPr>
    </w:p>
    <w:p w14:paraId="7C4BEDF1" w14:textId="3B92FDC7" w:rsidR="00B154F7" w:rsidRPr="008B1070" w:rsidRDefault="008B1070" w:rsidP="00B154F7">
      <w:pPr>
        <w:spacing w:after="0" w:line="360" w:lineRule="auto"/>
        <w:rPr>
          <w:rFonts w:cs="Times New Roman"/>
          <w:b/>
          <w:bCs/>
          <w:lang w:val="en-GB"/>
        </w:rPr>
      </w:pPr>
      <w:r w:rsidRPr="008B1070">
        <w:rPr>
          <w:rFonts w:cs="Times New Roman"/>
          <w:b/>
          <w:bCs/>
        </w:rPr>
        <w:t xml:space="preserve">2. </w:t>
      </w:r>
      <w:proofErr w:type="gramStart"/>
      <w:r w:rsidRPr="008B1070">
        <w:rPr>
          <w:rFonts w:cs="Times New Roman"/>
          <w:b/>
          <w:bCs/>
        </w:rPr>
        <w:t xml:space="preserve">Are </w:t>
      </w:r>
      <w:r w:rsidR="009360A1">
        <w:rPr>
          <w:rFonts w:cs="Times New Roman"/>
          <w:b/>
          <w:bCs/>
        </w:rPr>
        <w:t xml:space="preserve">Argentina, Brazil, </w:t>
      </w:r>
      <w:proofErr w:type="spellStart"/>
      <w:r w:rsidR="009360A1">
        <w:rPr>
          <w:rFonts w:cs="Times New Roman"/>
          <w:b/>
          <w:bCs/>
        </w:rPr>
        <w:t>Mexico</w:t>
      </w:r>
      <w:proofErr w:type="spellEnd"/>
      <w:r w:rsidR="009360A1">
        <w:rPr>
          <w:rFonts w:cs="Times New Roman"/>
          <w:b/>
          <w:bCs/>
        </w:rPr>
        <w:t>, and Spain</w:t>
      </w:r>
      <w:r w:rsidRPr="008B1070">
        <w:rPr>
          <w:rFonts w:cs="Times New Roman"/>
          <w:b/>
          <w:bCs/>
        </w:rPr>
        <w:t xml:space="preserve"> </w:t>
      </w:r>
      <w:proofErr w:type="spellStart"/>
      <w:r w:rsidRPr="008B1070">
        <w:rPr>
          <w:rFonts w:cs="Times New Roman"/>
          <w:b/>
          <w:bCs/>
        </w:rPr>
        <w:t>federations</w:t>
      </w:r>
      <w:proofErr w:type="spellEnd"/>
      <w:r w:rsidRPr="008B1070">
        <w:rPr>
          <w:rFonts w:cs="Times New Roman"/>
          <w:b/>
          <w:bCs/>
        </w:rPr>
        <w:t>?</w:t>
      </w:r>
      <w:proofErr w:type="gramEnd"/>
    </w:p>
    <w:p w14:paraId="63AFDE60" w14:textId="5E2C57F0" w:rsidR="00B154F7" w:rsidRDefault="00B154F7" w:rsidP="009360A1">
      <w:pPr>
        <w:rPr>
          <w:lang w:val="en-GB"/>
        </w:rPr>
      </w:pPr>
      <w:r w:rsidRPr="00B154F7">
        <w:rPr>
          <w:lang w:val="en-GB"/>
        </w:rPr>
        <w:t>A federation comprises (at least) two orders of government that enjoy constitutional recognition, each with a direct relationship with the people and meaningful autonomy, and whose status and powers are constitutionally entrenched (Fenna &amp; Schnabel, 2024</w:t>
      </w:r>
      <w:r w:rsidR="00DB0675">
        <w:rPr>
          <w:lang w:val="en-GB"/>
        </w:rPr>
        <w:t>; 2025</w:t>
      </w:r>
      <w:r w:rsidRPr="00B154F7">
        <w:rPr>
          <w:lang w:val="en-GB"/>
        </w:rPr>
        <w:t xml:space="preserve">). </w:t>
      </w:r>
      <w:r w:rsidR="009C6D98" w:rsidRPr="009C6D98">
        <w:rPr>
          <w:lang w:val="en-GB"/>
        </w:rPr>
        <w:t xml:space="preserve">This definition encompasses a broad range of federal models, including dual, </w:t>
      </w:r>
      <w:r w:rsidR="009C6D98" w:rsidRPr="009C6D98">
        <w:rPr>
          <w:lang w:val="en-GB"/>
        </w:rPr>
        <w:lastRenderedPageBreak/>
        <w:t xml:space="preserve">administrative, coming-together, and holding-together </w:t>
      </w:r>
      <w:r w:rsidR="000B75DF">
        <w:rPr>
          <w:lang w:val="en-GB"/>
        </w:rPr>
        <w:t>federations</w:t>
      </w:r>
      <w:r w:rsidR="009C6D98" w:rsidRPr="009C6D98">
        <w:rPr>
          <w:lang w:val="en-GB"/>
        </w:rPr>
        <w:t xml:space="preserve">, as well as centralised and decentralised </w:t>
      </w:r>
      <w:r w:rsidR="000B75DF">
        <w:rPr>
          <w:lang w:val="en-GB"/>
        </w:rPr>
        <w:t>ones</w:t>
      </w:r>
      <w:r w:rsidR="000B75DF" w:rsidRPr="009C6D98">
        <w:rPr>
          <w:lang w:val="en-GB"/>
        </w:rPr>
        <w:t xml:space="preserve"> </w:t>
      </w:r>
      <w:r w:rsidR="009C6D98" w:rsidRPr="009C6D98">
        <w:rPr>
          <w:lang w:val="en-GB"/>
        </w:rPr>
        <w:t>(</w:t>
      </w:r>
      <w:proofErr w:type="spellStart"/>
      <w:r w:rsidR="009C6D98" w:rsidRPr="009C6D98">
        <w:rPr>
          <w:lang w:val="en-GB"/>
        </w:rPr>
        <w:t>Dardanelli</w:t>
      </w:r>
      <w:proofErr w:type="spellEnd"/>
      <w:r w:rsidR="009C6D98" w:rsidRPr="009C6D98">
        <w:rPr>
          <w:lang w:val="en-GB"/>
        </w:rPr>
        <w:t xml:space="preserve"> et al., 2019; Mueller &amp; Fenna, 2022; Stepan, 1999).</w:t>
      </w:r>
    </w:p>
    <w:p w14:paraId="06DE5D6C" w14:textId="2D57A677" w:rsidR="00B154F7" w:rsidRPr="009360A1" w:rsidRDefault="00B154F7" w:rsidP="009360A1">
      <w:pPr>
        <w:rPr>
          <w:lang w:val="en-GB"/>
        </w:rPr>
      </w:pPr>
      <w:r w:rsidRPr="00B154F7">
        <w:rPr>
          <w:lang w:val="en-GB"/>
        </w:rPr>
        <w:t xml:space="preserve">Meaningful autonomy requires powers that are not "of an entirely trivial nature", that is, in at least one of the main areas of modern government (Fenna &amp; Schnabel, 2024, p. 182), including the </w:t>
      </w:r>
      <w:r w:rsidR="006448A2">
        <w:rPr>
          <w:lang w:val="en-GB"/>
        </w:rPr>
        <w:t>authority</w:t>
      </w:r>
      <w:r w:rsidR="006448A2" w:rsidRPr="00B154F7">
        <w:rPr>
          <w:lang w:val="en-GB"/>
        </w:rPr>
        <w:t xml:space="preserve"> </w:t>
      </w:r>
      <w:r w:rsidRPr="00B154F7">
        <w:rPr>
          <w:lang w:val="en-GB"/>
        </w:rPr>
        <w:t>to decide on its own system of government. Powers limited to implementing the other order</w:t>
      </w:r>
      <w:r w:rsidR="006448A2">
        <w:rPr>
          <w:lang w:val="en-GB"/>
        </w:rPr>
        <w:t xml:space="preserve"> of government</w:t>
      </w:r>
      <w:r w:rsidRPr="00B154F7">
        <w:rPr>
          <w:lang w:val="en-GB"/>
        </w:rPr>
        <w:t>'s policies count only if they involve significant, constitutionally entrenched discretion.</w:t>
      </w:r>
      <w:r w:rsidR="006448A2">
        <w:rPr>
          <w:lang w:val="en-GB"/>
        </w:rPr>
        <w:t xml:space="preserve"> </w:t>
      </w:r>
      <w:r w:rsidRPr="00B154F7">
        <w:rPr>
          <w:lang w:val="en-GB"/>
        </w:rPr>
        <w:t xml:space="preserve">Constitutional entrenchment means that neither order can unilaterally abrogate the division of powers or remove the other's </w:t>
      </w:r>
      <w:r w:rsidR="006448A2">
        <w:rPr>
          <w:lang w:val="en-GB"/>
        </w:rPr>
        <w:t xml:space="preserve">status or </w:t>
      </w:r>
      <w:r w:rsidRPr="00B154F7">
        <w:rPr>
          <w:lang w:val="en-GB"/>
        </w:rPr>
        <w:t>authorities</w:t>
      </w:r>
      <w:r w:rsidR="006448A2">
        <w:rPr>
          <w:lang w:val="en-GB"/>
        </w:rPr>
        <w:t xml:space="preserve">, </w:t>
      </w:r>
      <w:r w:rsidR="006448A2" w:rsidRPr="00B154F7">
        <w:rPr>
          <w:lang w:val="en-GB"/>
        </w:rPr>
        <w:t>and any provisions for intervention are subject to strict conditions</w:t>
      </w:r>
      <w:r w:rsidRPr="00B154F7">
        <w:rPr>
          <w:lang w:val="en-GB"/>
        </w:rPr>
        <w:t>. Constitutional amendment requires the consent of the constituent unit governments or of a majority of the people in a majority of the units.</w:t>
      </w:r>
    </w:p>
    <w:p w14:paraId="6F1336D6" w14:textId="55F7A6E1" w:rsidR="00B154F7" w:rsidRDefault="00B154F7" w:rsidP="009360A1">
      <w:pPr>
        <w:rPr>
          <w:lang w:val="en-GB"/>
        </w:rPr>
      </w:pPr>
      <w:r w:rsidRPr="009360A1">
        <w:rPr>
          <w:i/>
          <w:iCs/>
          <w:lang w:val="en-GB"/>
        </w:rPr>
        <w:t>Two orders of government with constitutional recognition.</w:t>
      </w:r>
      <w:r w:rsidRPr="00B154F7">
        <w:rPr>
          <w:lang w:val="en-GB"/>
        </w:rPr>
        <w:t xml:space="preserve"> </w:t>
      </w:r>
      <w:r w:rsidR="00C301E0">
        <w:rPr>
          <w:lang w:val="en-GB"/>
        </w:rPr>
        <w:t>Argentina, Brazil, Mexico, and Spain</w:t>
      </w:r>
      <w:r w:rsidR="00C301E0" w:rsidRPr="00B154F7">
        <w:rPr>
          <w:lang w:val="en-GB"/>
        </w:rPr>
        <w:t xml:space="preserve"> </w:t>
      </w:r>
      <w:r w:rsidRPr="00B154F7">
        <w:rPr>
          <w:lang w:val="en-GB"/>
        </w:rPr>
        <w:t>clearly me</w:t>
      </w:r>
      <w:r w:rsidR="00C301E0">
        <w:rPr>
          <w:lang w:val="en-GB"/>
        </w:rPr>
        <w:t>e</w:t>
      </w:r>
      <w:r w:rsidRPr="00B154F7">
        <w:rPr>
          <w:lang w:val="en-GB"/>
        </w:rPr>
        <w:t>t</w:t>
      </w:r>
      <w:r w:rsidR="00C301E0">
        <w:rPr>
          <w:lang w:val="en-GB"/>
        </w:rPr>
        <w:t xml:space="preserve"> this criterion</w:t>
      </w:r>
      <w:r w:rsidRPr="00B154F7">
        <w:rPr>
          <w:lang w:val="en-GB"/>
        </w:rPr>
        <w:t xml:space="preserve">. Each country has a central government alongside provinces, states or Autonomous Communities whose existence is recognised in the constitution; in Brazil, </w:t>
      </w:r>
      <w:r w:rsidR="00C301E0">
        <w:rPr>
          <w:lang w:val="en-GB"/>
        </w:rPr>
        <w:t xml:space="preserve">this includes </w:t>
      </w:r>
      <w:r w:rsidRPr="00B154F7">
        <w:rPr>
          <w:lang w:val="en-GB"/>
        </w:rPr>
        <w:t>the municipalities</w:t>
      </w:r>
      <w:r w:rsidR="00C301E0">
        <w:rPr>
          <w:lang w:val="en-GB"/>
        </w:rPr>
        <w:t>, which</w:t>
      </w:r>
      <w:r w:rsidRPr="00B154F7">
        <w:rPr>
          <w:lang w:val="en-GB"/>
        </w:rPr>
        <w:t xml:space="preserve"> are also </w:t>
      </w:r>
      <w:r w:rsidR="00C301E0">
        <w:rPr>
          <w:lang w:val="en-GB"/>
        </w:rPr>
        <w:t xml:space="preserve">a </w:t>
      </w:r>
      <w:r w:rsidRPr="00B154F7">
        <w:rPr>
          <w:lang w:val="en-GB"/>
        </w:rPr>
        <w:t>constitutionally recognised order of government. In Spain, the Constitution recognises the right to autonomy, while the Autonomous Communities themselves were constituted through their Statutes of Autonomy.</w:t>
      </w:r>
      <w:r w:rsidR="00361FA6">
        <w:rPr>
          <w:lang w:val="en-GB"/>
        </w:rPr>
        <w:t xml:space="preserve"> Each order of  government has a </w:t>
      </w:r>
      <w:r w:rsidR="00361FA6">
        <w:rPr>
          <w:i/>
          <w:iCs/>
          <w:lang w:val="en-GB"/>
        </w:rPr>
        <w:t>d</w:t>
      </w:r>
      <w:r w:rsidRPr="009360A1">
        <w:rPr>
          <w:i/>
          <w:iCs/>
          <w:lang w:val="en-GB"/>
        </w:rPr>
        <w:t>irect relationship with the people.</w:t>
      </w:r>
      <w:r w:rsidRPr="00B154F7">
        <w:rPr>
          <w:lang w:val="en-GB"/>
        </w:rPr>
        <w:t xml:space="preserve"> Both (or all three) orders of government have their own elected executives and legislatures, which are accountable to their own citizens and act directly upon them.</w:t>
      </w:r>
    </w:p>
    <w:p w14:paraId="7206DA5C" w14:textId="79A152B5" w:rsidR="00CE5B5B" w:rsidRDefault="00CE5B5B" w:rsidP="00CE5B5B">
      <w:pPr>
        <w:rPr>
          <w:lang w:val="en-GB"/>
        </w:rPr>
      </w:pPr>
      <w:r w:rsidRPr="009360A1">
        <w:rPr>
          <w:i/>
          <w:iCs/>
          <w:lang w:val="en-GB"/>
        </w:rPr>
        <w:t>Constitutional entrenchment.</w:t>
      </w:r>
      <w:r w:rsidRPr="00B154F7">
        <w:rPr>
          <w:lang w:val="en-GB"/>
        </w:rPr>
        <w:t xml:space="preserve"> In all four countries, the status and powers of the constituent units cannot be altered unilaterally by ordinary central </w:t>
      </w:r>
      <w:r w:rsidR="00904E1C">
        <w:rPr>
          <w:lang w:val="en-GB"/>
        </w:rPr>
        <w:t xml:space="preserve">government </w:t>
      </w:r>
      <w:r w:rsidRPr="00B154F7">
        <w:rPr>
          <w:lang w:val="en-GB"/>
        </w:rPr>
        <w:t>legislation; in Spain, the Statutes of Autonomy cannot be reformed without regional consent. Constitutional amendment, however, requires the consent of the constituent units only in Mexico, where amendments must be approved by both chambers of Congress and a majority of state legislatures. In Argentina, Brazil and Spain, the constitution can be amended without the constituent units' consent</w:t>
      </w:r>
      <w:r w:rsidR="00904E1C">
        <w:rPr>
          <w:lang w:val="en-GB"/>
        </w:rPr>
        <w:t>. In Argentina, however, constitutional amendment involves a constituent assembly and a referendum. In Spain, the Autonomous Communities can request a constitutional amendment and changes to the distribution of power require amendment of the Statutes of Autonomy, which, in turn, requires the consent of both orders of government</w:t>
      </w:r>
      <w:r w:rsidRPr="00B154F7">
        <w:rPr>
          <w:lang w:val="en-GB"/>
        </w:rPr>
        <w:t xml:space="preserve">. </w:t>
      </w:r>
      <w:r w:rsidR="00904E1C">
        <w:rPr>
          <w:lang w:val="en-GB"/>
        </w:rPr>
        <w:t>Hence, t</w:t>
      </w:r>
      <w:r w:rsidR="00904E1C" w:rsidRPr="00B154F7">
        <w:rPr>
          <w:lang w:val="en-GB"/>
        </w:rPr>
        <w:t xml:space="preserve">his criterion is only in </w:t>
      </w:r>
      <w:r w:rsidR="00904E1C">
        <w:rPr>
          <w:lang w:val="en-GB"/>
        </w:rPr>
        <w:t>Argentina, Mexico, and Spain, with Brazil falling short</w:t>
      </w:r>
      <w:r w:rsidR="00904E1C" w:rsidRPr="00B154F7">
        <w:rPr>
          <w:lang w:val="en-GB"/>
        </w:rPr>
        <w:t>.</w:t>
      </w:r>
      <w:r w:rsidR="00904E1C">
        <w:rPr>
          <w:lang w:val="en-GB"/>
        </w:rPr>
        <w:t xml:space="preserve"> </w:t>
      </w:r>
      <w:r w:rsidRPr="00B154F7">
        <w:rPr>
          <w:lang w:val="en-GB"/>
        </w:rPr>
        <w:t>All four constitutions provide for central intervention in the constituent units</w:t>
      </w:r>
      <w:r w:rsidR="00904E1C">
        <w:rPr>
          <w:lang w:val="en-GB"/>
        </w:rPr>
        <w:t>;</w:t>
      </w:r>
      <w:r w:rsidRPr="00B154F7">
        <w:rPr>
          <w:lang w:val="en-GB"/>
        </w:rPr>
        <w:t xml:space="preserve"> </w:t>
      </w:r>
      <w:r w:rsidR="00904E1C">
        <w:rPr>
          <w:lang w:val="en-GB"/>
        </w:rPr>
        <w:t xml:space="preserve">however, this is </w:t>
      </w:r>
      <w:r w:rsidRPr="00B154F7">
        <w:rPr>
          <w:lang w:val="en-GB"/>
        </w:rPr>
        <w:t>under specified conditions, and its use has become limited.</w:t>
      </w:r>
      <w:r w:rsidRPr="00074A56">
        <w:rPr>
          <w:lang w:val="en-GB"/>
        </w:rPr>
        <w:t xml:space="preserve"> </w:t>
      </w:r>
    </w:p>
    <w:p w14:paraId="37BE7149" w14:textId="391223F7" w:rsidR="00B154F7" w:rsidRDefault="00B154F7" w:rsidP="009360A1">
      <w:pPr>
        <w:rPr>
          <w:lang w:val="en-GB"/>
        </w:rPr>
      </w:pPr>
      <w:r w:rsidRPr="009360A1">
        <w:rPr>
          <w:i/>
          <w:iCs/>
          <w:lang w:val="en-GB"/>
        </w:rPr>
        <w:t>Meaningful autonomy.</w:t>
      </w:r>
      <w:r w:rsidRPr="00B154F7">
        <w:rPr>
          <w:lang w:val="en-GB"/>
        </w:rPr>
        <w:t xml:space="preserve"> This is where the four countries </w:t>
      </w:r>
      <w:r w:rsidR="000D55E9">
        <w:rPr>
          <w:lang w:val="en-GB"/>
        </w:rPr>
        <w:t xml:space="preserve">clearly </w:t>
      </w:r>
      <w:r w:rsidRPr="00B154F7">
        <w:rPr>
          <w:lang w:val="en-GB"/>
        </w:rPr>
        <w:t xml:space="preserve">fall short. In all of them, the central government holds exclusive or concurrent powers, </w:t>
      </w:r>
      <w:r w:rsidR="00D05FC8">
        <w:rPr>
          <w:lang w:val="en-GB"/>
        </w:rPr>
        <w:t>including</w:t>
      </w:r>
      <w:r w:rsidR="00D05FC8" w:rsidRPr="00B154F7">
        <w:rPr>
          <w:lang w:val="en-GB"/>
        </w:rPr>
        <w:t xml:space="preserve"> </w:t>
      </w:r>
      <w:r w:rsidRPr="00B154F7">
        <w:rPr>
          <w:lang w:val="en-GB"/>
        </w:rPr>
        <w:t>the authority to adopt framework legislation, in virtually every major policy area. Exclusive constituent-unit jurisdiction is largely absent in key domains of modern government, such as health, education, welfare and infrastructure. The constituent units deliver many services, but they do so within parameters set by central legislation. Their discretion in implementation is significant in some cases, notably in Argentina</w:t>
      </w:r>
      <w:r w:rsidR="00D05FC8">
        <w:rPr>
          <w:lang w:val="en-GB"/>
        </w:rPr>
        <w:t xml:space="preserve">, </w:t>
      </w:r>
      <w:r w:rsidRPr="00B154F7">
        <w:rPr>
          <w:lang w:val="en-GB"/>
        </w:rPr>
        <w:t xml:space="preserve">Brazil, </w:t>
      </w:r>
      <w:r w:rsidR="00D05FC8">
        <w:rPr>
          <w:lang w:val="en-GB"/>
        </w:rPr>
        <w:t xml:space="preserve">and </w:t>
      </w:r>
      <w:r w:rsidR="00D05FC8" w:rsidRPr="00B154F7">
        <w:rPr>
          <w:lang w:val="en-GB"/>
        </w:rPr>
        <w:t>Spain</w:t>
      </w:r>
      <w:r w:rsidR="00D05FC8">
        <w:rPr>
          <w:lang w:val="en-GB"/>
        </w:rPr>
        <w:t xml:space="preserve"> </w:t>
      </w:r>
      <w:r w:rsidRPr="00B154F7">
        <w:rPr>
          <w:lang w:val="en-GB"/>
        </w:rPr>
        <w:t xml:space="preserve">but it is only partially protected by the constitution and court rulings. In contrast to the constituent units in </w:t>
      </w:r>
      <w:r w:rsidRPr="00B154F7">
        <w:rPr>
          <w:lang w:val="en-GB"/>
        </w:rPr>
        <w:lastRenderedPageBreak/>
        <w:t xml:space="preserve">Australia, Canada, Germany, Switzerland or the United States, they therefore act to a considerable extent as agents of the central government rather than as autonomous policymakers. </w:t>
      </w:r>
      <w:r w:rsidR="009C6D98" w:rsidRPr="009C6D98">
        <w:rPr>
          <w:lang w:val="en-GB"/>
        </w:rPr>
        <w:t xml:space="preserve">The extent to which they can decide on their own system of government varies. Argentine provinces </w:t>
      </w:r>
      <w:r w:rsidR="00D05FC8">
        <w:rPr>
          <w:lang w:val="en-GB"/>
        </w:rPr>
        <w:t xml:space="preserve">have significant institutional autonomy, as they </w:t>
      </w:r>
      <w:r w:rsidR="009C6D98" w:rsidRPr="009C6D98">
        <w:rPr>
          <w:lang w:val="en-GB"/>
        </w:rPr>
        <w:t xml:space="preserve">can choose their own system of government and electoral system; Spain's </w:t>
      </w:r>
      <w:r w:rsidR="00D05FC8">
        <w:rPr>
          <w:lang w:val="en-GB"/>
        </w:rPr>
        <w:t>A</w:t>
      </w:r>
      <w:r w:rsidR="009C6D98" w:rsidRPr="009C6D98">
        <w:rPr>
          <w:lang w:val="en-GB"/>
        </w:rPr>
        <w:t xml:space="preserve">utonomous </w:t>
      </w:r>
      <w:r w:rsidR="00D05FC8">
        <w:rPr>
          <w:lang w:val="en-GB"/>
        </w:rPr>
        <w:t>C</w:t>
      </w:r>
      <w:r w:rsidR="009C6D98" w:rsidRPr="009C6D98">
        <w:rPr>
          <w:lang w:val="en-GB"/>
        </w:rPr>
        <w:t xml:space="preserve">ommunities enjoy some discretion within their </w:t>
      </w:r>
      <w:r w:rsidR="00D05FC8">
        <w:rPr>
          <w:lang w:val="en-GB"/>
        </w:rPr>
        <w:t>S</w:t>
      </w:r>
      <w:r w:rsidR="009C6D98" w:rsidRPr="009C6D98">
        <w:rPr>
          <w:lang w:val="en-GB"/>
        </w:rPr>
        <w:t>tatutes</w:t>
      </w:r>
      <w:r w:rsidR="00D05FC8">
        <w:rPr>
          <w:lang w:val="en-GB"/>
        </w:rPr>
        <w:t xml:space="preserve"> of Autonomy</w:t>
      </w:r>
      <w:r w:rsidR="009C6D98" w:rsidRPr="009C6D98">
        <w:rPr>
          <w:lang w:val="en-GB"/>
        </w:rPr>
        <w:t xml:space="preserve">; and Brazilian and Mexican states must adopt the presidential system </w:t>
      </w:r>
      <w:r w:rsidR="00182FC6">
        <w:rPr>
          <w:lang w:val="en-GB"/>
        </w:rPr>
        <w:t xml:space="preserve">and electoral system </w:t>
      </w:r>
      <w:r w:rsidR="009C6D98" w:rsidRPr="009C6D98">
        <w:rPr>
          <w:lang w:val="en-GB"/>
        </w:rPr>
        <w:t>prescribed by the federal constitution.</w:t>
      </w:r>
    </w:p>
    <w:p w14:paraId="0EA17D71" w14:textId="77777777" w:rsidR="00453D2A" w:rsidRDefault="00453D2A" w:rsidP="00B154F7">
      <w:pPr>
        <w:spacing w:after="0" w:line="360" w:lineRule="auto"/>
        <w:rPr>
          <w:rFonts w:cs="Times New Roman"/>
          <w:lang w:val="en-GB"/>
        </w:rPr>
      </w:pPr>
    </w:p>
    <w:p w14:paraId="26644070" w14:textId="7A32A572" w:rsidR="002D28B7" w:rsidRPr="00453D2A" w:rsidRDefault="00453D2A" w:rsidP="00B154F7">
      <w:pPr>
        <w:spacing w:after="0" w:line="360" w:lineRule="auto"/>
        <w:rPr>
          <w:rFonts w:cs="Times New Roman"/>
          <w:b/>
          <w:bCs/>
          <w:lang w:val="en-GB"/>
        </w:rPr>
      </w:pPr>
      <w:r>
        <w:rPr>
          <w:rFonts w:cs="Times New Roman"/>
          <w:b/>
          <w:bCs/>
          <w:lang w:val="en-GB"/>
        </w:rPr>
        <w:t xml:space="preserve">3. </w:t>
      </w:r>
      <w:r w:rsidRPr="00453D2A">
        <w:rPr>
          <w:rFonts w:cs="Times New Roman"/>
          <w:b/>
          <w:bCs/>
          <w:lang w:val="en-GB"/>
        </w:rPr>
        <w:t>Why (still) study Ibero-American federations?</w:t>
      </w:r>
    </w:p>
    <w:p w14:paraId="6F08DE07" w14:textId="02B76F72" w:rsidR="002D28B7" w:rsidRPr="00074A56" w:rsidRDefault="00000000" w:rsidP="009360A1">
      <w:pPr>
        <w:rPr>
          <w:lang w:val="en-GB"/>
        </w:rPr>
      </w:pPr>
      <w:r w:rsidRPr="00074A56">
        <w:rPr>
          <w:lang w:val="en-GB"/>
        </w:rPr>
        <w:t xml:space="preserve">If the policy autonomy of the constituent units is so constrained, why should we still analyse these systems as federations? We see </w:t>
      </w:r>
      <w:r w:rsidR="00453D2A">
        <w:rPr>
          <w:lang w:val="en-GB"/>
        </w:rPr>
        <w:t>several</w:t>
      </w:r>
      <w:r w:rsidRPr="00074A56">
        <w:rPr>
          <w:lang w:val="en-GB"/>
        </w:rPr>
        <w:t xml:space="preserve"> reasons.</w:t>
      </w:r>
    </w:p>
    <w:p w14:paraId="423AAE79" w14:textId="465D3435" w:rsidR="002D28B7" w:rsidRPr="00074A56" w:rsidRDefault="00000000" w:rsidP="009360A1">
      <w:pPr>
        <w:rPr>
          <w:lang w:val="en-GB"/>
        </w:rPr>
      </w:pPr>
      <w:r w:rsidRPr="00074A56">
        <w:rPr>
          <w:lang w:val="en-GB"/>
        </w:rPr>
        <w:t>First, provinces, states and Autonomous Communities are not creatures of the central government. In contrast to unitary countries like France, Portugal or Chile—or even decentralised unitary countries like Colombia, Denmark or Sweden—they were not established by central legislation</w:t>
      </w:r>
      <w:r w:rsidR="00EE01AC">
        <w:rPr>
          <w:lang w:val="en-GB"/>
        </w:rPr>
        <w:t>.</w:t>
      </w:r>
      <w:r w:rsidRPr="00074A56">
        <w:rPr>
          <w:lang w:val="en-GB"/>
        </w:rPr>
        <w:t xml:space="preserve"> </w:t>
      </w:r>
      <w:r w:rsidR="00EE01AC">
        <w:rPr>
          <w:lang w:val="en-GB"/>
        </w:rPr>
        <w:t xml:space="preserve">They </w:t>
      </w:r>
      <w:r w:rsidRPr="00074A56">
        <w:rPr>
          <w:lang w:val="en-GB"/>
        </w:rPr>
        <w:t xml:space="preserve">exist, like the central government, due to constitutional provisions </w:t>
      </w:r>
      <w:r w:rsidR="00C267C0" w:rsidRPr="00C267C0">
        <w:rPr>
          <w:lang w:val="en-GB"/>
        </w:rPr>
        <w:t>that the centre cannot change by ordinary legislation</w:t>
      </w:r>
      <w:r w:rsidRPr="00074A56">
        <w:rPr>
          <w:lang w:val="en-GB"/>
        </w:rPr>
        <w:t xml:space="preserve">. </w:t>
      </w:r>
      <w:r w:rsidR="00EE01AC">
        <w:rPr>
          <w:lang w:val="en-GB"/>
        </w:rPr>
        <w:t>Therefore</w:t>
      </w:r>
      <w:r w:rsidRPr="00074A56">
        <w:rPr>
          <w:lang w:val="en-GB"/>
        </w:rPr>
        <w:t xml:space="preserve">, these systems are structurally closer to federal </w:t>
      </w:r>
      <w:r w:rsidR="00EE01AC">
        <w:rPr>
          <w:lang w:val="en-GB"/>
        </w:rPr>
        <w:t xml:space="preserve">countries </w:t>
      </w:r>
      <w:r w:rsidRPr="00074A56">
        <w:rPr>
          <w:lang w:val="en-GB"/>
        </w:rPr>
        <w:t>than to unitary countries.</w:t>
      </w:r>
    </w:p>
    <w:p w14:paraId="60444294" w14:textId="00A8B9BD" w:rsidR="002D28B7" w:rsidRPr="00074A56" w:rsidRDefault="00EE01AC" w:rsidP="009360A1">
      <w:pPr>
        <w:rPr>
          <w:lang w:val="en-GB"/>
        </w:rPr>
      </w:pPr>
      <w:r>
        <w:rPr>
          <w:lang w:val="en-GB"/>
        </w:rPr>
        <w:t>Second</w:t>
      </w:r>
      <w:r w:rsidR="00000000" w:rsidRPr="00074A56">
        <w:rPr>
          <w:lang w:val="en-GB"/>
        </w:rPr>
        <w:t xml:space="preserve">, the constituent units play a crucial role in the operation of these political systems. They implement and administer a large share of public policies, and regional leaders are key figures in national politics. During the COVID-19 pandemic, several Brazilian states adopted protective measures that the Bolsonaro government refused to enact. In Spain, left-wing and right-wing </w:t>
      </w:r>
      <w:r w:rsidR="00DB0675">
        <w:rPr>
          <w:lang w:val="en-GB"/>
        </w:rPr>
        <w:t xml:space="preserve">minority </w:t>
      </w:r>
      <w:r w:rsidR="00000000" w:rsidRPr="00074A56">
        <w:rPr>
          <w:lang w:val="en-GB"/>
        </w:rPr>
        <w:t>central governments alike have only come to power with the support of Catalan, Basque or Galician regional parties. In Argentina, governors control electoral lists and seats in Congress, and their loyalty—or rebellion—has been decisive in moments of crisis, as in 2001.</w:t>
      </w:r>
    </w:p>
    <w:p w14:paraId="35BB13D0" w14:textId="63EA2B06" w:rsidR="002D28B7" w:rsidRDefault="00EE01AC" w:rsidP="009360A1">
      <w:pPr>
        <w:rPr>
          <w:lang w:val="en-GB"/>
        </w:rPr>
      </w:pPr>
      <w:r>
        <w:rPr>
          <w:lang w:val="en-GB"/>
        </w:rPr>
        <w:t>Third</w:t>
      </w:r>
      <w:r w:rsidR="00000000" w:rsidRPr="00074A56">
        <w:rPr>
          <w:lang w:val="en-GB"/>
        </w:rPr>
        <w:t>, the constituent units have shown a capacity to accommodate diversity and to innovate. With the exception of Mexico, Ibero-American federations are good examples of laboratory federalism, in which policy innovations and participatory models have diffused to other units or to the central level, notably in Brazil.</w:t>
      </w:r>
    </w:p>
    <w:p w14:paraId="760CB17F" w14:textId="77777777" w:rsidR="00453D2A" w:rsidRPr="00453D2A" w:rsidRDefault="00453D2A" w:rsidP="00453D2A">
      <w:pPr>
        <w:spacing w:after="0" w:line="360" w:lineRule="auto"/>
        <w:rPr>
          <w:rFonts w:cs="Times New Roman"/>
          <w:lang w:val="en-GB"/>
        </w:rPr>
      </w:pPr>
      <w:bookmarkStart w:id="1" w:name="a-distinct-ibero-american-model"/>
      <w:bookmarkEnd w:id="0"/>
    </w:p>
    <w:p w14:paraId="11069225" w14:textId="60024155" w:rsidR="00453D2A" w:rsidRPr="00453D2A" w:rsidRDefault="00453D2A" w:rsidP="00453D2A">
      <w:pPr>
        <w:spacing w:after="0" w:line="360" w:lineRule="auto"/>
        <w:rPr>
          <w:rFonts w:cs="Times New Roman"/>
          <w:b/>
          <w:bCs/>
          <w:lang w:val="en-GB"/>
        </w:rPr>
      </w:pPr>
      <w:r w:rsidRPr="00453D2A">
        <w:rPr>
          <w:rFonts w:cs="Times New Roman"/>
          <w:b/>
          <w:bCs/>
          <w:lang w:val="en-GB"/>
        </w:rPr>
        <w:t>4. A distinct Ibero-American model?</w:t>
      </w:r>
    </w:p>
    <w:p w14:paraId="7C53C200" w14:textId="29817B32" w:rsidR="002D28B7" w:rsidRPr="00074A56" w:rsidRDefault="00000000" w:rsidP="009360A1">
      <w:pPr>
        <w:rPr>
          <w:lang w:val="en-GB"/>
        </w:rPr>
      </w:pPr>
      <w:r w:rsidRPr="00074A56">
        <w:rPr>
          <w:lang w:val="en-GB"/>
        </w:rPr>
        <w:t xml:space="preserve">A distinct Ibero-American model would mean that </w:t>
      </w:r>
      <w:r w:rsidR="00A306A7">
        <w:rPr>
          <w:lang w:val="en-GB"/>
        </w:rPr>
        <w:t>Argentina, Brazil, Mexico, and Spain</w:t>
      </w:r>
      <w:r w:rsidRPr="00074A56">
        <w:rPr>
          <w:lang w:val="en-GB"/>
        </w:rPr>
        <w:t xml:space="preserve"> are most similar to each other and most different from federations in other parts of the world. This is not what we find.</w:t>
      </w:r>
    </w:p>
    <w:p w14:paraId="34467CE7" w14:textId="2FA4F203" w:rsidR="002D28B7" w:rsidRPr="00074A56" w:rsidRDefault="00000000" w:rsidP="009360A1">
      <w:pPr>
        <w:rPr>
          <w:lang w:val="en-GB"/>
        </w:rPr>
      </w:pPr>
      <w:r w:rsidRPr="00DB0675">
        <w:rPr>
          <w:i/>
          <w:iCs/>
          <w:lang w:val="en-GB"/>
        </w:rPr>
        <w:t>Division of powers.</w:t>
      </w:r>
      <w:r w:rsidRPr="00074A56">
        <w:rPr>
          <w:lang w:val="en-GB"/>
        </w:rPr>
        <w:t xml:space="preserve"> The most important similarity is strong legislative centralisation through exclusive central powers and the vast use of framework legislation </w:t>
      </w:r>
      <w:r w:rsidR="00453D2A">
        <w:rPr>
          <w:lang w:val="en-GB"/>
        </w:rPr>
        <w:t>in most policy fields</w:t>
      </w:r>
      <w:r w:rsidRPr="00074A56">
        <w:rPr>
          <w:lang w:val="en-GB"/>
        </w:rPr>
        <w:t xml:space="preserve">. </w:t>
      </w:r>
      <w:r w:rsidR="009C6D98" w:rsidRPr="009C6D98">
        <w:rPr>
          <w:lang w:val="en-GB"/>
        </w:rPr>
        <w:t xml:space="preserve">However, the four </w:t>
      </w:r>
      <w:r w:rsidR="00A306A7">
        <w:rPr>
          <w:lang w:val="en-GB"/>
        </w:rPr>
        <w:t xml:space="preserve">countries </w:t>
      </w:r>
      <w:r w:rsidR="009C6D98" w:rsidRPr="009C6D98">
        <w:rPr>
          <w:lang w:val="en-GB"/>
        </w:rPr>
        <w:t xml:space="preserve">differ in the discretion that framework legislation leaves to the </w:t>
      </w:r>
      <w:r w:rsidR="009C1109">
        <w:rPr>
          <w:lang w:val="en-GB"/>
        </w:rPr>
        <w:t>constituent</w:t>
      </w:r>
      <w:r w:rsidR="009C1109" w:rsidRPr="009C6D98">
        <w:rPr>
          <w:lang w:val="en-GB"/>
        </w:rPr>
        <w:t xml:space="preserve"> </w:t>
      </w:r>
      <w:r w:rsidR="009C6D98" w:rsidRPr="009C6D98">
        <w:rPr>
          <w:lang w:val="en-GB"/>
        </w:rPr>
        <w:t xml:space="preserve">units. Mexican states have very limited scope to implement national laws, whereas the Spanish autonomous communities typically develop extensive </w:t>
      </w:r>
      <w:r w:rsidR="009C6D98" w:rsidRPr="009C6D98">
        <w:rPr>
          <w:lang w:val="en-GB"/>
        </w:rPr>
        <w:lastRenderedPageBreak/>
        <w:t>central standards.</w:t>
      </w:r>
      <w:r w:rsidRPr="00074A56">
        <w:rPr>
          <w:lang w:val="en-GB"/>
        </w:rPr>
        <w:t xml:space="preserve"> They also differ in how concurrency operates; Brazil, for example, distinguishes exclusive administrative from “privative” central powers and has constitutionally mandated national unified systems in health, education and social assistance. </w:t>
      </w:r>
      <w:r w:rsidR="00453D2A">
        <w:rPr>
          <w:lang w:val="en-GB"/>
        </w:rPr>
        <w:t>A</w:t>
      </w:r>
      <w:r w:rsidRPr="00074A56">
        <w:rPr>
          <w:lang w:val="en-GB"/>
        </w:rPr>
        <w:t xml:space="preserve">ll four combine features of administrative federations </w:t>
      </w:r>
      <w:r w:rsidR="009C1109">
        <w:rPr>
          <w:lang w:val="en-GB"/>
        </w:rPr>
        <w:t xml:space="preserve">similar to </w:t>
      </w:r>
      <w:r w:rsidRPr="00074A56">
        <w:rPr>
          <w:lang w:val="en-GB"/>
        </w:rPr>
        <w:t xml:space="preserve">Germany, Austria, </w:t>
      </w:r>
      <w:r w:rsidR="009C1109">
        <w:rPr>
          <w:lang w:val="en-GB"/>
        </w:rPr>
        <w:t xml:space="preserve">and </w:t>
      </w:r>
      <w:r w:rsidRPr="00074A56">
        <w:rPr>
          <w:lang w:val="en-GB"/>
        </w:rPr>
        <w:t>Switzerland, where the cent</w:t>
      </w:r>
      <w:r w:rsidR="009C1109">
        <w:rPr>
          <w:lang w:val="en-GB"/>
        </w:rPr>
        <w:t>ral government</w:t>
      </w:r>
      <w:r w:rsidRPr="00074A56">
        <w:rPr>
          <w:lang w:val="en-GB"/>
        </w:rPr>
        <w:t xml:space="preserve"> legislates and the </w:t>
      </w:r>
      <w:r w:rsidR="009C1109">
        <w:rPr>
          <w:lang w:val="en-GB"/>
        </w:rPr>
        <w:t xml:space="preserve">constituent </w:t>
      </w:r>
      <w:r w:rsidRPr="00074A56">
        <w:rPr>
          <w:lang w:val="en-GB"/>
        </w:rPr>
        <w:t>units implement</w:t>
      </w:r>
      <w:r w:rsidR="009C1109">
        <w:rPr>
          <w:lang w:val="en-GB"/>
        </w:rPr>
        <w:t xml:space="preserve"> these decisions</w:t>
      </w:r>
      <w:r w:rsidRPr="00074A56">
        <w:rPr>
          <w:lang w:val="en-GB"/>
        </w:rPr>
        <w:t xml:space="preserve">, with features of dual federations </w:t>
      </w:r>
      <w:r w:rsidR="009C1109">
        <w:rPr>
          <w:lang w:val="en-GB"/>
        </w:rPr>
        <w:t xml:space="preserve">comparable to </w:t>
      </w:r>
      <w:r w:rsidRPr="00074A56">
        <w:rPr>
          <w:lang w:val="en-GB"/>
        </w:rPr>
        <w:t xml:space="preserve">the United States, Canada, </w:t>
      </w:r>
      <w:r w:rsidR="009C1109">
        <w:rPr>
          <w:lang w:val="en-GB"/>
        </w:rPr>
        <w:t xml:space="preserve">and </w:t>
      </w:r>
      <w:r w:rsidRPr="00074A56">
        <w:rPr>
          <w:lang w:val="en-GB"/>
        </w:rPr>
        <w:t xml:space="preserve">Australia, where the </w:t>
      </w:r>
      <w:r w:rsidR="009C1109">
        <w:rPr>
          <w:lang w:val="en-GB"/>
        </w:rPr>
        <w:t xml:space="preserve">central government implements  </w:t>
      </w:r>
      <w:r w:rsidRPr="00074A56">
        <w:rPr>
          <w:lang w:val="en-GB"/>
        </w:rPr>
        <w:t xml:space="preserve">its own policies. </w:t>
      </w:r>
      <w:r w:rsidR="009C1109">
        <w:rPr>
          <w:lang w:val="en-GB"/>
        </w:rPr>
        <w:t xml:space="preserve">Ibero-American federations </w:t>
      </w:r>
      <w:r w:rsidRPr="00074A56">
        <w:rPr>
          <w:lang w:val="en-GB"/>
        </w:rPr>
        <w:t>are neither clearly administrative nor clearly dual (Mueller &amp; Fenna, 2022).</w:t>
      </w:r>
      <w:r w:rsidR="009641DD">
        <w:rPr>
          <w:lang w:val="en-GB"/>
        </w:rPr>
        <w:t xml:space="preserve"> In this, they are also not distinct, as even the United States has </w:t>
      </w:r>
      <w:r w:rsidR="002E7DA1">
        <w:rPr>
          <w:lang w:val="en-GB"/>
        </w:rPr>
        <w:t>gained features</w:t>
      </w:r>
      <w:r w:rsidR="009641DD">
        <w:rPr>
          <w:lang w:val="en-GB"/>
        </w:rPr>
        <w:t xml:space="preserve"> </w:t>
      </w:r>
      <w:r w:rsidR="002E7DA1">
        <w:rPr>
          <w:lang w:val="en-GB"/>
        </w:rPr>
        <w:t xml:space="preserve">of </w:t>
      </w:r>
      <w:r w:rsidR="009641DD">
        <w:rPr>
          <w:lang w:val="en-GB"/>
        </w:rPr>
        <w:t xml:space="preserve">administrative </w:t>
      </w:r>
      <w:r w:rsidR="002E7DA1">
        <w:rPr>
          <w:lang w:val="en-GB"/>
        </w:rPr>
        <w:t xml:space="preserve">federalism </w:t>
      </w:r>
      <w:r w:rsidR="009641DD">
        <w:rPr>
          <w:lang w:val="en-GB"/>
        </w:rPr>
        <w:t xml:space="preserve">over time. </w:t>
      </w:r>
    </w:p>
    <w:p w14:paraId="0F3269FC" w14:textId="5F57AD4D" w:rsidR="002D28B7" w:rsidRPr="00074A56" w:rsidRDefault="00000000" w:rsidP="009360A1">
      <w:pPr>
        <w:rPr>
          <w:lang w:val="en-GB"/>
        </w:rPr>
      </w:pPr>
      <w:r w:rsidRPr="00DB0675">
        <w:rPr>
          <w:i/>
          <w:iCs/>
          <w:lang w:val="en-GB"/>
        </w:rPr>
        <w:t>Fiscal federalism.</w:t>
      </w:r>
      <w:r w:rsidRPr="00074A56">
        <w:rPr>
          <w:lang w:val="en-GB"/>
        </w:rPr>
        <w:t xml:space="preserve"> </w:t>
      </w:r>
      <w:r w:rsidR="003469CF">
        <w:rPr>
          <w:lang w:val="en-GB"/>
        </w:rPr>
        <w:t>In a</w:t>
      </w:r>
      <w:r w:rsidRPr="00074A56">
        <w:rPr>
          <w:lang w:val="en-GB"/>
        </w:rPr>
        <w:t xml:space="preserve">ll four </w:t>
      </w:r>
      <w:r w:rsidR="003469CF">
        <w:rPr>
          <w:lang w:val="en-GB"/>
        </w:rPr>
        <w:t xml:space="preserve">countries, the central government exercises </w:t>
      </w:r>
      <w:r w:rsidRPr="00074A56">
        <w:rPr>
          <w:lang w:val="en-GB"/>
        </w:rPr>
        <w:t xml:space="preserve">a broad federal spending power, </w:t>
      </w:r>
      <w:r w:rsidR="003469CF">
        <w:rPr>
          <w:lang w:val="en-GB"/>
        </w:rPr>
        <w:t xml:space="preserve">comparable to that </w:t>
      </w:r>
      <w:r w:rsidRPr="00074A56">
        <w:rPr>
          <w:lang w:val="en-GB"/>
        </w:rPr>
        <w:t xml:space="preserve">in Australia, Canada and the United States, and in all four, decentralisation is more pronounced on the expenditure than on the revenue side. Beyond </w:t>
      </w:r>
      <w:r w:rsidR="003469CF">
        <w:rPr>
          <w:lang w:val="en-GB"/>
        </w:rPr>
        <w:t>these similarities</w:t>
      </w:r>
      <w:r w:rsidRPr="00074A56">
        <w:rPr>
          <w:lang w:val="en-GB"/>
        </w:rPr>
        <w:t>, the variation is considerable. Mexico is the most fiscally centralised case and resembles Austria, Ethiopia</w:t>
      </w:r>
      <w:r w:rsidR="003469CF">
        <w:rPr>
          <w:lang w:val="en-GB"/>
        </w:rPr>
        <w:t>,</w:t>
      </w:r>
      <w:r w:rsidRPr="00074A56">
        <w:rPr>
          <w:lang w:val="en-GB"/>
        </w:rPr>
        <w:t xml:space="preserve"> </w:t>
      </w:r>
      <w:r w:rsidR="003469CF">
        <w:rPr>
          <w:lang w:val="en-GB"/>
        </w:rPr>
        <w:t xml:space="preserve">and </w:t>
      </w:r>
      <w:r w:rsidRPr="00074A56">
        <w:rPr>
          <w:lang w:val="en-GB"/>
        </w:rPr>
        <w:t>South Africa rather than its Ibero-American peers</w:t>
      </w:r>
      <w:r w:rsidR="003469CF">
        <w:rPr>
          <w:lang w:val="en-GB"/>
        </w:rPr>
        <w:t>.</w:t>
      </w:r>
      <w:r w:rsidRPr="00074A56">
        <w:rPr>
          <w:lang w:val="en-GB"/>
        </w:rPr>
        <w:t xml:space="preserve"> Argentina and Spain are closer to Australia, India</w:t>
      </w:r>
      <w:r w:rsidR="003469CF">
        <w:rPr>
          <w:lang w:val="en-GB"/>
        </w:rPr>
        <w:t>,</w:t>
      </w:r>
      <w:r w:rsidRPr="00074A56">
        <w:rPr>
          <w:lang w:val="en-GB"/>
        </w:rPr>
        <w:t xml:space="preserve"> </w:t>
      </w:r>
      <w:r w:rsidR="003469CF">
        <w:rPr>
          <w:lang w:val="en-GB"/>
        </w:rPr>
        <w:t xml:space="preserve">and </w:t>
      </w:r>
      <w:r w:rsidRPr="00074A56">
        <w:rPr>
          <w:lang w:val="en-GB"/>
        </w:rPr>
        <w:t>Belgium</w:t>
      </w:r>
      <w:r w:rsidR="003469CF">
        <w:rPr>
          <w:lang w:val="en-GB"/>
        </w:rPr>
        <w:t xml:space="preserve">, while </w:t>
      </w:r>
      <w:r w:rsidRPr="00074A56">
        <w:rPr>
          <w:lang w:val="en-GB"/>
        </w:rPr>
        <w:t>Brazil is as fiscally decentralised as Switzerland or the United States. Brazil’s constitutionally entrenched revenue sharing resembles Germany’s, whereas in Mexico the central government decides on revenue sharing unilaterally. Conditional grants are a key instrument in Argentina, Brazil and Mexico, but play a limited role in Spain, where most transfers are unconditional.</w:t>
      </w:r>
    </w:p>
    <w:p w14:paraId="63A7BAD1" w14:textId="3F577A8C" w:rsidR="008443B0" w:rsidRDefault="00000000" w:rsidP="00B374AA">
      <w:pPr>
        <w:rPr>
          <w:lang w:val="en-GB"/>
        </w:rPr>
      </w:pPr>
      <w:r w:rsidRPr="00DB0675">
        <w:rPr>
          <w:i/>
          <w:iCs/>
          <w:lang w:val="en-GB"/>
        </w:rPr>
        <w:t xml:space="preserve">Intergovernmental relations. </w:t>
      </w:r>
      <w:r w:rsidRPr="00DB0675">
        <w:rPr>
          <w:lang w:val="en-GB"/>
        </w:rPr>
        <w:t>The clearest common pattern concerns</w:t>
      </w:r>
      <w:r w:rsidRPr="00074A56">
        <w:rPr>
          <w:lang w:val="en-GB"/>
        </w:rPr>
        <w:t xml:space="preserve"> how constituent units </w:t>
      </w:r>
      <w:r w:rsidR="0021647B">
        <w:rPr>
          <w:lang w:val="en-GB"/>
        </w:rPr>
        <w:t>participate</w:t>
      </w:r>
      <w:r w:rsidRPr="00074A56">
        <w:rPr>
          <w:lang w:val="en-GB"/>
        </w:rPr>
        <w:t xml:space="preserve"> in central decisions. </w:t>
      </w:r>
      <w:r w:rsidR="0021647B">
        <w:rPr>
          <w:lang w:val="en-GB"/>
        </w:rPr>
        <w:t xml:space="preserve">Short answer: They don’t. </w:t>
      </w:r>
      <w:r w:rsidRPr="00074A56">
        <w:rPr>
          <w:lang w:val="en-GB"/>
        </w:rPr>
        <w:t xml:space="preserve">Second chambers are the formal channel, but in all four countries senators are directly elected—except for about a fifth of Spanish senators </w:t>
      </w:r>
      <w:r w:rsidR="0021647B">
        <w:rPr>
          <w:lang w:val="en-GB"/>
        </w:rPr>
        <w:t xml:space="preserve">which are </w:t>
      </w:r>
      <w:r w:rsidRPr="00074A56">
        <w:rPr>
          <w:lang w:val="en-GB"/>
        </w:rPr>
        <w:t>designated by regional parliaments—and vote along party lines. In Brazil, membership of the president’s coalition explains senators’ votes better than their state of origin. Spain’s Senate, constitutionally “the chamber of territorial representation”, is largely marginal; territorial bargaining takes place in the Congress, where Catalan and Basque parties have extracted concessions from minority governments.</w:t>
      </w:r>
      <w:r w:rsidR="00B374AA">
        <w:rPr>
          <w:lang w:val="en-GB"/>
        </w:rPr>
        <w:t xml:space="preserve"> </w:t>
      </w:r>
    </w:p>
    <w:p w14:paraId="78E3EFCE" w14:textId="2E34F052" w:rsidR="002D28B7" w:rsidRPr="00074A56" w:rsidRDefault="00B374AA" w:rsidP="00B374AA">
      <w:pPr>
        <w:rPr>
          <w:lang w:val="en-GB"/>
        </w:rPr>
      </w:pPr>
      <w:r>
        <w:rPr>
          <w:lang w:val="en-GB"/>
        </w:rPr>
        <w:t xml:space="preserve">IGR, by contrast, like in other federations, have become a key part of the operation of the federal system. They are, however, </w:t>
      </w:r>
      <w:r w:rsidR="00000000" w:rsidRPr="00074A56">
        <w:rPr>
          <w:lang w:val="en-GB"/>
        </w:rPr>
        <w:t xml:space="preserve">predominantly vertical and centrally steered. Peak councils are few and recent. Brazil’s Council of the Federation was created by presidential decree in 2023 and is chaired by the President. Spain’s Conference of Presidents meets irregularly despite standing orders foreseeing regular sessions. Argentina has no generalist council, and Mexico none of a vertical kind. Sectoral councils show more variation. Brazil’s tripartite commissions in health and social assistance adopt legally binding rules by consensus, and the federal government, though dominant, cannot simply impose its preferences. Mexico’s health and education councils, by contrast, are formally institutionalised but serve top-down coordination. In Spain, the Fiscal and Financial Policy Council gives the central government a voting bloc equal to that of all </w:t>
      </w:r>
      <w:r>
        <w:rPr>
          <w:lang w:val="en-GB"/>
        </w:rPr>
        <w:t>Autonomous Communities</w:t>
      </w:r>
      <w:r w:rsidRPr="00074A56">
        <w:rPr>
          <w:lang w:val="en-GB"/>
        </w:rPr>
        <w:t xml:space="preserve"> </w:t>
      </w:r>
      <w:r w:rsidR="00000000" w:rsidRPr="00074A56">
        <w:rPr>
          <w:lang w:val="en-GB"/>
        </w:rPr>
        <w:t xml:space="preserve">combined. In consequence, rather than acting as federal safeguards, </w:t>
      </w:r>
      <w:r w:rsidR="00000000" w:rsidRPr="00074A56">
        <w:rPr>
          <w:lang w:val="en-GB"/>
        </w:rPr>
        <w:lastRenderedPageBreak/>
        <w:t>intergovernmental councils serve largely as tools of the central government to promote and implement its agenda.</w:t>
      </w:r>
      <w:r>
        <w:rPr>
          <w:lang w:val="en-GB"/>
        </w:rPr>
        <w:t xml:space="preserve"> </w:t>
      </w:r>
    </w:p>
    <w:p w14:paraId="5B7398A3" w14:textId="16709041" w:rsidR="002D28B7" w:rsidRPr="00074A56" w:rsidRDefault="00000000" w:rsidP="009360A1">
      <w:pPr>
        <w:rPr>
          <w:lang w:val="en-GB"/>
        </w:rPr>
      </w:pPr>
      <w:r w:rsidRPr="00074A56">
        <w:rPr>
          <w:lang w:val="en-GB"/>
        </w:rPr>
        <w:t>Horizontal cooperation is weak</w:t>
      </w:r>
      <w:r w:rsidR="00453D2A">
        <w:rPr>
          <w:lang w:val="en-GB"/>
        </w:rPr>
        <w:t xml:space="preserve"> or inexistent</w:t>
      </w:r>
      <w:r w:rsidR="00DB0675">
        <w:rPr>
          <w:lang w:val="en-GB"/>
        </w:rPr>
        <w:t>.</w:t>
      </w:r>
      <w:r w:rsidR="00453D2A">
        <w:rPr>
          <w:lang w:val="en-GB"/>
        </w:rPr>
        <w:t xml:space="preserve"> The exception is</w:t>
      </w:r>
      <w:r w:rsidRPr="00074A56">
        <w:rPr>
          <w:lang w:val="en-GB"/>
        </w:rPr>
        <w:t xml:space="preserve"> Brazil, which has a Forum of Governors, interstate consortia such as the Northeast Consortium and more than 4,700 inter-municipal consortia. Mexico’s CONAGO</w:t>
      </w:r>
      <w:r w:rsidR="00DB0675">
        <w:rPr>
          <w:lang w:val="en-GB"/>
        </w:rPr>
        <w:t xml:space="preserve"> is</w:t>
      </w:r>
      <w:r w:rsidRPr="00074A56">
        <w:rPr>
          <w:lang w:val="en-GB"/>
        </w:rPr>
        <w:t xml:space="preserve"> </w:t>
      </w:r>
      <w:proofErr w:type="spellStart"/>
      <w:r w:rsidR="00DB0675" w:rsidRPr="00DB0675">
        <w:t>only</w:t>
      </w:r>
      <w:proofErr w:type="spellEnd"/>
      <w:r w:rsidR="00DB0675" w:rsidRPr="00DB0675">
        <w:t xml:space="preserve"> a </w:t>
      </w:r>
      <w:proofErr w:type="spellStart"/>
      <w:r w:rsidR="00DB0675" w:rsidRPr="00DB0675">
        <w:t>weak</w:t>
      </w:r>
      <w:proofErr w:type="spellEnd"/>
      <w:r w:rsidR="00DB0675" w:rsidRPr="00DB0675">
        <w:t xml:space="preserve"> horizontal </w:t>
      </w:r>
      <w:proofErr w:type="spellStart"/>
      <w:r w:rsidR="00DB0675" w:rsidRPr="00DB0675">
        <w:t>council</w:t>
      </w:r>
      <w:proofErr w:type="spellEnd"/>
      <w:r w:rsidR="00DB0675">
        <w:t xml:space="preserve"> </w:t>
      </w:r>
      <w:proofErr w:type="spellStart"/>
      <w:r w:rsidR="00DB0675">
        <w:t>which</w:t>
      </w:r>
      <w:proofErr w:type="spellEnd"/>
      <w:r w:rsidR="00DB0675">
        <w:t xml:space="preserve"> </w:t>
      </w:r>
      <w:r w:rsidRPr="00074A56">
        <w:rPr>
          <w:lang w:val="en-GB"/>
        </w:rPr>
        <w:t xml:space="preserve">mainly issues statements addressed to the President. Intergovernmental agreements are predominantly vertical and bilateral, which can serve </w:t>
      </w:r>
      <w:r w:rsidR="00632064">
        <w:rPr>
          <w:lang w:val="en-GB"/>
        </w:rPr>
        <w:t xml:space="preserve">the purpose of </w:t>
      </w:r>
      <w:r w:rsidRPr="00074A56">
        <w:rPr>
          <w:lang w:val="en-GB"/>
        </w:rPr>
        <w:t xml:space="preserve">accommodation, as with the Basque Country and Navarre, or </w:t>
      </w:r>
      <w:r w:rsidR="00632064">
        <w:rPr>
          <w:lang w:val="en-GB"/>
        </w:rPr>
        <w:t xml:space="preserve">create </w:t>
      </w:r>
      <w:r w:rsidRPr="00074A56">
        <w:rPr>
          <w:lang w:val="en-GB"/>
        </w:rPr>
        <w:t xml:space="preserve">division, as in Mexico between 2018 and 2024. Formal </w:t>
      </w:r>
      <w:r w:rsidR="00632064">
        <w:rPr>
          <w:lang w:val="en-GB"/>
        </w:rPr>
        <w:t>consultation or co-decision requirements</w:t>
      </w:r>
      <w:r w:rsidRPr="00074A56">
        <w:rPr>
          <w:lang w:val="en-GB"/>
        </w:rPr>
        <w:t xml:space="preserve"> are scarce and concern implementation rather than policy design.</w:t>
      </w:r>
    </w:p>
    <w:p w14:paraId="7CB38725" w14:textId="12321121" w:rsidR="002D28B7" w:rsidRDefault="00000000" w:rsidP="009360A1">
      <w:pPr>
        <w:rPr>
          <w:lang w:val="en-GB"/>
        </w:rPr>
      </w:pPr>
      <w:r w:rsidRPr="00074A56">
        <w:rPr>
          <w:lang w:val="en-GB"/>
        </w:rPr>
        <w:t xml:space="preserve">None of these features is distinctively Ibero-American. Vertical generalist councils resemble those of Australia rather than Germany or Switzerland, and directly elected, party-driven senates follow the US template. In having both vertical and horizontal councils, Argentina and Brazil are closer to Canada and Germany than to Mexico and Spain. </w:t>
      </w:r>
    </w:p>
    <w:p w14:paraId="7CDEE82B" w14:textId="77777777" w:rsidR="00DB0675" w:rsidRDefault="00DB0675" w:rsidP="00074A56">
      <w:pPr>
        <w:spacing w:after="0" w:line="360" w:lineRule="auto"/>
        <w:rPr>
          <w:rFonts w:cs="Times New Roman"/>
          <w:lang w:val="en-GB"/>
        </w:rPr>
      </w:pPr>
    </w:p>
    <w:p w14:paraId="0D412EF2" w14:textId="261476BA" w:rsidR="00DB0675" w:rsidRPr="00DB0675" w:rsidRDefault="00DB0675" w:rsidP="00074A56">
      <w:pPr>
        <w:spacing w:after="0" w:line="360" w:lineRule="auto"/>
        <w:rPr>
          <w:rFonts w:cs="Times New Roman"/>
          <w:b/>
          <w:bCs/>
          <w:lang w:val="en-GB"/>
        </w:rPr>
      </w:pPr>
      <w:r w:rsidRPr="00DB0675">
        <w:rPr>
          <w:rFonts w:cs="Times New Roman"/>
          <w:b/>
          <w:bCs/>
          <w:lang w:val="en-GB"/>
        </w:rPr>
        <w:t>Table 1. A distinct Ibero-American model? Key features in internal and international comparison</w:t>
      </w:r>
    </w:p>
    <w:tbl>
      <w:tblPr>
        <w:tblW w:w="9176" w:type="dxa"/>
        <w:tblCellMar>
          <w:left w:w="0" w:type="dxa"/>
          <w:right w:w="0" w:type="dxa"/>
        </w:tblCellMar>
        <w:tblLook w:val="0420" w:firstRow="1" w:lastRow="0" w:firstColumn="0" w:lastColumn="0" w:noHBand="0" w:noVBand="1"/>
      </w:tblPr>
      <w:tblGrid>
        <w:gridCol w:w="1461"/>
        <w:gridCol w:w="3349"/>
        <w:gridCol w:w="4366"/>
      </w:tblGrid>
      <w:tr w:rsidR="00DE6F11" w:rsidRPr="00074A56" w14:paraId="72253408" w14:textId="77777777" w:rsidTr="005F22B6">
        <w:trPr>
          <w:trHeight w:val="661"/>
        </w:trPr>
        <w:tc>
          <w:tcPr>
            <w:tcW w:w="1461" w:type="dxa"/>
            <w:tcBorders>
              <w:top w:val="single" w:sz="8" w:space="0" w:color="FFFFFF"/>
              <w:left w:val="single" w:sz="8" w:space="0" w:color="FFFFFF"/>
              <w:bottom w:val="single" w:sz="24" w:space="0" w:color="FFFFFF"/>
              <w:right w:val="single" w:sz="8" w:space="0" w:color="FFFFFF"/>
            </w:tcBorders>
            <w:shd w:val="clear" w:color="auto" w:fill="86B0A0"/>
            <w:tcMar>
              <w:top w:w="72" w:type="dxa"/>
              <w:left w:w="144" w:type="dxa"/>
              <w:bottom w:w="72" w:type="dxa"/>
              <w:right w:w="144" w:type="dxa"/>
            </w:tcMar>
            <w:hideMark/>
          </w:tcPr>
          <w:p w14:paraId="60459796" w14:textId="77777777" w:rsidR="00DE6F11" w:rsidRPr="00074A56" w:rsidRDefault="00DE6F11" w:rsidP="00074A56">
            <w:pPr>
              <w:spacing w:after="0" w:line="360" w:lineRule="auto"/>
              <w:rPr>
                <w:rFonts w:cs="Times New Roman"/>
                <w:lang w:val="en-GB"/>
              </w:rPr>
            </w:pPr>
            <w:r w:rsidRPr="00074A56">
              <w:rPr>
                <w:rFonts w:cs="Times New Roman"/>
                <w:b/>
                <w:bCs/>
                <w:lang w:val="en-GB"/>
              </w:rPr>
              <w:t>Features</w:t>
            </w:r>
          </w:p>
        </w:tc>
        <w:tc>
          <w:tcPr>
            <w:tcW w:w="3349" w:type="dxa"/>
            <w:tcBorders>
              <w:top w:val="single" w:sz="8" w:space="0" w:color="FFFFFF"/>
              <w:left w:val="single" w:sz="8" w:space="0" w:color="FFFFFF"/>
              <w:bottom w:val="single" w:sz="24" w:space="0" w:color="FFFFFF"/>
              <w:right w:val="single" w:sz="8" w:space="0" w:color="FFFFFF"/>
            </w:tcBorders>
            <w:shd w:val="clear" w:color="auto" w:fill="86B0A0"/>
            <w:tcMar>
              <w:top w:w="72" w:type="dxa"/>
              <w:left w:w="144" w:type="dxa"/>
              <w:bottom w:w="72" w:type="dxa"/>
              <w:right w:w="144" w:type="dxa"/>
            </w:tcMar>
            <w:hideMark/>
          </w:tcPr>
          <w:p w14:paraId="68D54A74" w14:textId="77777777" w:rsidR="00DE6F11" w:rsidRPr="00074A56" w:rsidRDefault="00DE6F11" w:rsidP="00074A56">
            <w:pPr>
              <w:spacing w:after="0" w:line="360" w:lineRule="auto"/>
              <w:rPr>
                <w:rFonts w:cs="Times New Roman"/>
                <w:lang w:val="en-GB"/>
              </w:rPr>
            </w:pPr>
            <w:r w:rsidRPr="00074A56">
              <w:rPr>
                <w:rFonts w:cs="Times New Roman"/>
                <w:b/>
                <w:bCs/>
                <w:lang w:val="en-GB"/>
              </w:rPr>
              <w:t>Internal comparison</w:t>
            </w:r>
          </w:p>
        </w:tc>
        <w:tc>
          <w:tcPr>
            <w:tcW w:w="4366" w:type="dxa"/>
            <w:tcBorders>
              <w:top w:val="single" w:sz="8" w:space="0" w:color="FFFFFF"/>
              <w:left w:val="single" w:sz="8" w:space="0" w:color="FFFFFF"/>
              <w:bottom w:val="single" w:sz="24" w:space="0" w:color="FFFFFF"/>
              <w:right w:val="single" w:sz="8" w:space="0" w:color="FFFFFF"/>
            </w:tcBorders>
            <w:shd w:val="clear" w:color="auto" w:fill="86B0A0"/>
            <w:tcMar>
              <w:top w:w="72" w:type="dxa"/>
              <w:left w:w="144" w:type="dxa"/>
              <w:bottom w:w="72" w:type="dxa"/>
              <w:right w:w="144" w:type="dxa"/>
            </w:tcMar>
            <w:hideMark/>
          </w:tcPr>
          <w:p w14:paraId="599632BC" w14:textId="77777777" w:rsidR="00DE6F11" w:rsidRPr="00074A56" w:rsidRDefault="00DE6F11" w:rsidP="00074A56">
            <w:pPr>
              <w:spacing w:after="0" w:line="360" w:lineRule="auto"/>
              <w:rPr>
                <w:rFonts w:cs="Times New Roman"/>
                <w:lang w:val="en-GB"/>
              </w:rPr>
            </w:pPr>
            <w:r w:rsidRPr="00074A56">
              <w:rPr>
                <w:rFonts w:cs="Times New Roman"/>
                <w:b/>
                <w:bCs/>
                <w:lang w:val="en-GB"/>
              </w:rPr>
              <w:t>International comparison</w:t>
            </w:r>
          </w:p>
        </w:tc>
      </w:tr>
      <w:tr w:rsidR="00DE6F11" w:rsidRPr="00074A56" w14:paraId="7C38E26E" w14:textId="77777777" w:rsidTr="005F22B6">
        <w:trPr>
          <w:trHeight w:val="1280"/>
        </w:trPr>
        <w:tc>
          <w:tcPr>
            <w:tcW w:w="1461" w:type="dxa"/>
            <w:tcBorders>
              <w:top w:val="single" w:sz="24" w:space="0" w:color="FFFFFF"/>
              <w:left w:val="single" w:sz="8" w:space="0" w:color="FFFFFF"/>
              <w:bottom w:val="single" w:sz="8" w:space="0" w:color="FFFFFF"/>
              <w:right w:val="single" w:sz="8" w:space="0" w:color="FFFFFF"/>
            </w:tcBorders>
            <w:shd w:val="clear" w:color="auto" w:fill="D9E4DF"/>
            <w:tcMar>
              <w:top w:w="72" w:type="dxa"/>
              <w:left w:w="144" w:type="dxa"/>
              <w:bottom w:w="72" w:type="dxa"/>
              <w:right w:w="144" w:type="dxa"/>
            </w:tcMar>
            <w:hideMark/>
          </w:tcPr>
          <w:p w14:paraId="1849F9AA" w14:textId="77777777" w:rsidR="00DE6F11" w:rsidRPr="00074A56" w:rsidRDefault="00DE6F11" w:rsidP="00074A56">
            <w:pPr>
              <w:spacing w:after="0" w:line="360" w:lineRule="auto"/>
              <w:rPr>
                <w:rFonts w:cs="Times New Roman"/>
                <w:lang w:val="en-GB"/>
              </w:rPr>
            </w:pPr>
            <w:r w:rsidRPr="00074A56">
              <w:rPr>
                <w:rFonts w:cs="Times New Roman"/>
                <w:b/>
                <w:bCs/>
                <w:lang w:val="en-GB"/>
              </w:rPr>
              <w:t>Division of powers</w:t>
            </w:r>
          </w:p>
        </w:tc>
        <w:tc>
          <w:tcPr>
            <w:tcW w:w="3349" w:type="dxa"/>
            <w:tcBorders>
              <w:top w:val="single" w:sz="24" w:space="0" w:color="FFFFFF"/>
              <w:left w:val="single" w:sz="8" w:space="0" w:color="FFFFFF"/>
              <w:bottom w:val="single" w:sz="8" w:space="0" w:color="FFFFFF"/>
              <w:right w:val="single" w:sz="8" w:space="0" w:color="FFFFFF"/>
            </w:tcBorders>
            <w:shd w:val="clear" w:color="auto" w:fill="D9E4DF"/>
            <w:tcMar>
              <w:top w:w="72" w:type="dxa"/>
              <w:left w:w="144" w:type="dxa"/>
              <w:bottom w:w="72" w:type="dxa"/>
              <w:right w:w="144" w:type="dxa"/>
            </w:tcMar>
            <w:hideMark/>
          </w:tcPr>
          <w:p w14:paraId="68FBB1D1" w14:textId="77777777" w:rsidR="00DE6F11" w:rsidRPr="00074A56" w:rsidRDefault="00DE6F11" w:rsidP="00074A56">
            <w:pPr>
              <w:numPr>
                <w:ilvl w:val="0"/>
                <w:numId w:val="3"/>
              </w:numPr>
              <w:spacing w:after="0" w:line="360" w:lineRule="auto"/>
              <w:rPr>
                <w:rFonts w:cs="Times New Roman"/>
                <w:lang w:val="en-GB"/>
              </w:rPr>
            </w:pPr>
            <w:r w:rsidRPr="00074A56">
              <w:rPr>
                <w:rFonts w:cs="Times New Roman"/>
                <w:i/>
                <w:iCs/>
                <w:lang w:val="en-GB"/>
              </w:rPr>
              <w:t>Similarity</w:t>
            </w:r>
            <w:r w:rsidRPr="00074A56">
              <w:rPr>
                <w:rFonts w:cs="Times New Roman"/>
                <w:lang w:val="en-GB"/>
              </w:rPr>
              <w:t>: importance of framework legislation; re-centralization</w:t>
            </w:r>
          </w:p>
          <w:p w14:paraId="1AE18E92" w14:textId="77777777" w:rsidR="00DE6F11" w:rsidRPr="00074A56" w:rsidRDefault="00DE6F11" w:rsidP="00074A56">
            <w:pPr>
              <w:numPr>
                <w:ilvl w:val="0"/>
                <w:numId w:val="3"/>
              </w:numPr>
              <w:spacing w:after="0" w:line="360" w:lineRule="auto"/>
              <w:rPr>
                <w:rFonts w:cs="Times New Roman"/>
                <w:lang w:val="en-GB"/>
              </w:rPr>
            </w:pPr>
            <w:r w:rsidRPr="00074A56">
              <w:rPr>
                <w:rFonts w:cs="Times New Roman"/>
                <w:i/>
                <w:iCs/>
                <w:lang w:val="en-GB"/>
              </w:rPr>
              <w:t>Variation</w:t>
            </w:r>
            <w:r w:rsidRPr="00074A56">
              <w:rPr>
                <w:rFonts w:cs="Times New Roman"/>
                <w:lang w:val="en-GB"/>
              </w:rPr>
              <w:t>: discretion under framework legislation, concurrency; level of centralization</w:t>
            </w:r>
          </w:p>
        </w:tc>
        <w:tc>
          <w:tcPr>
            <w:tcW w:w="4366" w:type="dxa"/>
            <w:tcBorders>
              <w:top w:val="single" w:sz="24" w:space="0" w:color="FFFFFF"/>
              <w:left w:val="single" w:sz="8" w:space="0" w:color="FFFFFF"/>
              <w:bottom w:val="single" w:sz="8" w:space="0" w:color="FFFFFF"/>
              <w:right w:val="single" w:sz="8" w:space="0" w:color="FFFFFF"/>
            </w:tcBorders>
            <w:shd w:val="clear" w:color="auto" w:fill="D9E4DF"/>
            <w:tcMar>
              <w:top w:w="72" w:type="dxa"/>
              <w:left w:w="144" w:type="dxa"/>
              <w:bottom w:w="72" w:type="dxa"/>
              <w:right w:w="144" w:type="dxa"/>
            </w:tcMar>
            <w:hideMark/>
          </w:tcPr>
          <w:p w14:paraId="5A27433D" w14:textId="77777777" w:rsidR="00DE6F11" w:rsidRPr="00074A56" w:rsidRDefault="00DE6F11" w:rsidP="00074A56">
            <w:pPr>
              <w:numPr>
                <w:ilvl w:val="0"/>
                <w:numId w:val="3"/>
              </w:numPr>
              <w:spacing w:after="0" w:line="360" w:lineRule="auto"/>
              <w:rPr>
                <w:rFonts w:cs="Times New Roman"/>
                <w:lang w:val="en-GB"/>
              </w:rPr>
            </w:pPr>
            <w:r w:rsidRPr="00074A56">
              <w:rPr>
                <w:rFonts w:cs="Times New Roman"/>
                <w:lang w:val="en-GB"/>
              </w:rPr>
              <w:t>More centralized than ‘classical’ federations</w:t>
            </w:r>
          </w:p>
          <w:p w14:paraId="2F4B70F3" w14:textId="77777777" w:rsidR="00DE6F11" w:rsidRPr="00074A56" w:rsidRDefault="00DE6F11" w:rsidP="00074A56">
            <w:pPr>
              <w:numPr>
                <w:ilvl w:val="0"/>
                <w:numId w:val="3"/>
              </w:numPr>
              <w:spacing w:after="0" w:line="360" w:lineRule="auto"/>
              <w:rPr>
                <w:rFonts w:cs="Times New Roman"/>
                <w:lang w:val="en-GB"/>
              </w:rPr>
            </w:pPr>
            <w:proofErr w:type="spellStart"/>
            <w:r w:rsidRPr="00074A56">
              <w:rPr>
                <w:rFonts w:cs="Times New Roman"/>
                <w:lang w:val="en-GB"/>
              </w:rPr>
              <w:t>IbAm</w:t>
            </w:r>
            <w:proofErr w:type="spellEnd"/>
            <w:r w:rsidRPr="00074A56">
              <w:rPr>
                <w:rFonts w:cs="Times New Roman"/>
                <w:lang w:val="en-GB"/>
              </w:rPr>
              <w:t xml:space="preserve"> feds less centralized than, e.g., Malaysia and India</w:t>
            </w:r>
          </w:p>
        </w:tc>
      </w:tr>
      <w:tr w:rsidR="00DE6F11" w:rsidRPr="00074A56" w14:paraId="5FE3323B" w14:textId="77777777" w:rsidTr="005F22B6">
        <w:trPr>
          <w:trHeight w:val="1280"/>
        </w:trPr>
        <w:tc>
          <w:tcPr>
            <w:tcW w:w="1461" w:type="dxa"/>
            <w:tcBorders>
              <w:top w:val="single" w:sz="8" w:space="0" w:color="FFFFFF"/>
              <w:left w:val="single" w:sz="8" w:space="0" w:color="FFFFFF"/>
              <w:bottom w:val="single" w:sz="8" w:space="0" w:color="FFFFFF"/>
              <w:right w:val="single" w:sz="8" w:space="0" w:color="FFFFFF"/>
            </w:tcBorders>
            <w:shd w:val="clear" w:color="auto" w:fill="EDF2F0"/>
            <w:tcMar>
              <w:top w:w="72" w:type="dxa"/>
              <w:left w:w="144" w:type="dxa"/>
              <w:bottom w:w="72" w:type="dxa"/>
              <w:right w:w="144" w:type="dxa"/>
            </w:tcMar>
            <w:hideMark/>
          </w:tcPr>
          <w:p w14:paraId="2D539318" w14:textId="77777777" w:rsidR="00DE6F11" w:rsidRPr="00074A56" w:rsidRDefault="00DE6F11" w:rsidP="00074A56">
            <w:pPr>
              <w:spacing w:after="0" w:line="360" w:lineRule="auto"/>
              <w:rPr>
                <w:rFonts w:cs="Times New Roman"/>
                <w:lang w:val="en-GB"/>
              </w:rPr>
            </w:pPr>
            <w:r w:rsidRPr="00074A56">
              <w:rPr>
                <w:rFonts w:cs="Times New Roman"/>
                <w:b/>
                <w:bCs/>
                <w:lang w:val="en-GB"/>
              </w:rPr>
              <w:t>Fiscal federalism</w:t>
            </w:r>
          </w:p>
        </w:tc>
        <w:tc>
          <w:tcPr>
            <w:tcW w:w="3349" w:type="dxa"/>
            <w:tcBorders>
              <w:top w:val="single" w:sz="8" w:space="0" w:color="FFFFFF"/>
              <w:left w:val="single" w:sz="8" w:space="0" w:color="FFFFFF"/>
              <w:bottom w:val="single" w:sz="8" w:space="0" w:color="FFFFFF"/>
              <w:right w:val="single" w:sz="8" w:space="0" w:color="FFFFFF"/>
            </w:tcBorders>
            <w:shd w:val="clear" w:color="auto" w:fill="EDF2F0"/>
            <w:tcMar>
              <w:top w:w="72" w:type="dxa"/>
              <w:left w:w="144" w:type="dxa"/>
              <w:bottom w:w="72" w:type="dxa"/>
              <w:right w:w="144" w:type="dxa"/>
            </w:tcMar>
            <w:hideMark/>
          </w:tcPr>
          <w:p w14:paraId="7A3EC061" w14:textId="77777777" w:rsidR="00DE6F11" w:rsidRPr="00074A56" w:rsidRDefault="00DE6F11" w:rsidP="00074A56">
            <w:pPr>
              <w:numPr>
                <w:ilvl w:val="0"/>
                <w:numId w:val="4"/>
              </w:numPr>
              <w:spacing w:after="0" w:line="360" w:lineRule="auto"/>
              <w:rPr>
                <w:rFonts w:cs="Times New Roman"/>
                <w:lang w:val="en-GB"/>
              </w:rPr>
            </w:pPr>
            <w:r w:rsidRPr="00074A56">
              <w:rPr>
                <w:rFonts w:cs="Times New Roman"/>
                <w:i/>
                <w:iCs/>
                <w:lang w:val="en-GB"/>
              </w:rPr>
              <w:t>Similarity</w:t>
            </w:r>
            <w:r w:rsidRPr="00074A56">
              <w:rPr>
                <w:rFonts w:cs="Times New Roman"/>
                <w:lang w:val="en-GB"/>
              </w:rPr>
              <w:t>: Broad FSP</w:t>
            </w:r>
          </w:p>
          <w:p w14:paraId="54674013" w14:textId="77777777" w:rsidR="00DE6F11" w:rsidRPr="00074A56" w:rsidRDefault="00DE6F11" w:rsidP="00074A56">
            <w:pPr>
              <w:numPr>
                <w:ilvl w:val="0"/>
                <w:numId w:val="4"/>
              </w:numPr>
              <w:spacing w:after="0" w:line="360" w:lineRule="auto"/>
              <w:rPr>
                <w:rFonts w:cs="Times New Roman"/>
                <w:lang w:val="en-GB"/>
              </w:rPr>
            </w:pPr>
            <w:r w:rsidRPr="00074A56">
              <w:rPr>
                <w:rFonts w:cs="Times New Roman"/>
                <w:i/>
                <w:iCs/>
                <w:lang w:val="en-GB"/>
              </w:rPr>
              <w:t>Variation</w:t>
            </w:r>
            <w:r w:rsidRPr="00074A56">
              <w:rPr>
                <w:rFonts w:cs="Times New Roman"/>
                <w:lang w:val="en-GB"/>
              </w:rPr>
              <w:t xml:space="preserve">: degree of fiscal de/centralization, authority over VAT, revenue-sharing </w:t>
            </w:r>
            <w:r w:rsidRPr="00074A56">
              <w:rPr>
                <w:rFonts w:cs="Times New Roman"/>
                <w:lang w:val="en-GB"/>
              </w:rPr>
              <w:lastRenderedPageBreak/>
              <w:t>mechanisms, conditional grants, FEQ</w:t>
            </w:r>
          </w:p>
        </w:tc>
        <w:tc>
          <w:tcPr>
            <w:tcW w:w="4366" w:type="dxa"/>
            <w:tcBorders>
              <w:top w:val="single" w:sz="8" w:space="0" w:color="FFFFFF"/>
              <w:left w:val="single" w:sz="8" w:space="0" w:color="FFFFFF"/>
              <w:bottom w:val="single" w:sz="8" w:space="0" w:color="FFFFFF"/>
              <w:right w:val="single" w:sz="8" w:space="0" w:color="FFFFFF"/>
            </w:tcBorders>
            <w:shd w:val="clear" w:color="auto" w:fill="EDF2F0"/>
            <w:tcMar>
              <w:top w:w="72" w:type="dxa"/>
              <w:left w:w="144" w:type="dxa"/>
              <w:bottom w:w="72" w:type="dxa"/>
              <w:right w:w="144" w:type="dxa"/>
            </w:tcMar>
            <w:hideMark/>
          </w:tcPr>
          <w:p w14:paraId="1811F60A" w14:textId="77777777" w:rsidR="00DE6F11" w:rsidRPr="00074A56" w:rsidRDefault="00DE6F11" w:rsidP="00074A56">
            <w:pPr>
              <w:numPr>
                <w:ilvl w:val="0"/>
                <w:numId w:val="4"/>
              </w:numPr>
              <w:spacing w:after="0" w:line="360" w:lineRule="auto"/>
              <w:rPr>
                <w:rFonts w:cs="Times New Roman"/>
                <w:lang w:val="en-GB"/>
              </w:rPr>
            </w:pPr>
            <w:r w:rsidRPr="00074A56">
              <w:rPr>
                <w:rFonts w:cs="Times New Roman"/>
                <w:lang w:val="en-GB"/>
              </w:rPr>
              <w:lastRenderedPageBreak/>
              <w:t>Broad FSP = AUS, CAN, USA</w:t>
            </w:r>
          </w:p>
          <w:p w14:paraId="0418AF02" w14:textId="77777777" w:rsidR="00DE6F11" w:rsidRPr="00074A56" w:rsidRDefault="00DE6F11" w:rsidP="00074A56">
            <w:pPr>
              <w:numPr>
                <w:ilvl w:val="0"/>
                <w:numId w:val="4"/>
              </w:numPr>
              <w:spacing w:after="0" w:line="360" w:lineRule="auto"/>
              <w:rPr>
                <w:rFonts w:cs="Times New Roman"/>
                <w:lang w:val="en-GB"/>
              </w:rPr>
            </w:pPr>
            <w:r w:rsidRPr="00074A56">
              <w:rPr>
                <w:rFonts w:cs="Times New Roman"/>
                <w:lang w:val="en-GB"/>
              </w:rPr>
              <w:t>Constitutionally mandated revenue sharing in BRA = DEU</w:t>
            </w:r>
          </w:p>
          <w:p w14:paraId="41FE9D3E" w14:textId="77777777" w:rsidR="00DE6F11" w:rsidRPr="00074A56" w:rsidRDefault="00DE6F11" w:rsidP="00074A56">
            <w:pPr>
              <w:numPr>
                <w:ilvl w:val="0"/>
                <w:numId w:val="4"/>
              </w:numPr>
              <w:spacing w:after="0" w:line="360" w:lineRule="auto"/>
              <w:rPr>
                <w:rFonts w:cs="Times New Roman"/>
                <w:lang w:val="en-GB"/>
              </w:rPr>
            </w:pPr>
            <w:r w:rsidRPr="00074A56">
              <w:rPr>
                <w:rFonts w:cs="Times New Roman"/>
                <w:lang w:val="en-GB"/>
              </w:rPr>
              <w:t>Implicit FEQ in ARG, BRA, MEX (= US)</w:t>
            </w:r>
          </w:p>
        </w:tc>
      </w:tr>
      <w:tr w:rsidR="00DE6F11" w:rsidRPr="00074A56" w14:paraId="0D2B9C95" w14:textId="77777777" w:rsidTr="005F22B6">
        <w:trPr>
          <w:trHeight w:val="1280"/>
        </w:trPr>
        <w:tc>
          <w:tcPr>
            <w:tcW w:w="1461" w:type="dxa"/>
            <w:tcBorders>
              <w:top w:val="single" w:sz="8" w:space="0" w:color="FFFFFF"/>
              <w:left w:val="single" w:sz="8" w:space="0" w:color="FFFFFF"/>
              <w:bottom w:val="single" w:sz="8" w:space="0" w:color="FFFFFF"/>
              <w:right w:val="single" w:sz="8" w:space="0" w:color="FFFFFF"/>
            </w:tcBorders>
            <w:shd w:val="clear" w:color="auto" w:fill="D9E4DF"/>
            <w:tcMar>
              <w:top w:w="72" w:type="dxa"/>
              <w:left w:w="144" w:type="dxa"/>
              <w:bottom w:w="72" w:type="dxa"/>
              <w:right w:w="144" w:type="dxa"/>
            </w:tcMar>
            <w:hideMark/>
          </w:tcPr>
          <w:p w14:paraId="2A0AF20D" w14:textId="77777777" w:rsidR="00DE6F11" w:rsidRPr="00074A56" w:rsidRDefault="00DE6F11" w:rsidP="00074A56">
            <w:pPr>
              <w:spacing w:after="0" w:line="360" w:lineRule="auto"/>
              <w:rPr>
                <w:rFonts w:cs="Times New Roman"/>
                <w:lang w:val="en-GB"/>
              </w:rPr>
            </w:pPr>
            <w:r w:rsidRPr="00074A56">
              <w:rPr>
                <w:rFonts w:cs="Times New Roman"/>
                <w:b/>
                <w:bCs/>
                <w:lang w:val="en-GB"/>
              </w:rPr>
              <w:t>IGR</w:t>
            </w:r>
          </w:p>
        </w:tc>
        <w:tc>
          <w:tcPr>
            <w:tcW w:w="3349" w:type="dxa"/>
            <w:tcBorders>
              <w:top w:val="single" w:sz="8" w:space="0" w:color="FFFFFF"/>
              <w:left w:val="single" w:sz="8" w:space="0" w:color="FFFFFF"/>
              <w:bottom w:val="single" w:sz="8" w:space="0" w:color="FFFFFF"/>
              <w:right w:val="single" w:sz="8" w:space="0" w:color="FFFFFF"/>
            </w:tcBorders>
            <w:shd w:val="clear" w:color="auto" w:fill="D9E4DF"/>
            <w:tcMar>
              <w:top w:w="72" w:type="dxa"/>
              <w:left w:w="144" w:type="dxa"/>
              <w:bottom w:w="72" w:type="dxa"/>
              <w:right w:w="144" w:type="dxa"/>
            </w:tcMar>
            <w:hideMark/>
          </w:tcPr>
          <w:p w14:paraId="00F4B6CA" w14:textId="77777777" w:rsidR="00DE6F11" w:rsidRPr="00074A56" w:rsidRDefault="00DE6F11" w:rsidP="00074A56">
            <w:pPr>
              <w:numPr>
                <w:ilvl w:val="0"/>
                <w:numId w:val="5"/>
              </w:numPr>
              <w:spacing w:after="0" w:line="360" w:lineRule="auto"/>
              <w:rPr>
                <w:rFonts w:cs="Times New Roman"/>
                <w:lang w:val="en-GB"/>
              </w:rPr>
            </w:pPr>
            <w:r w:rsidRPr="00074A56">
              <w:rPr>
                <w:rFonts w:cs="Times New Roman"/>
                <w:i/>
                <w:iCs/>
                <w:lang w:val="en-GB"/>
              </w:rPr>
              <w:t>Similarity</w:t>
            </w:r>
            <w:r w:rsidRPr="00074A56">
              <w:rPr>
                <w:rFonts w:cs="Times New Roman"/>
                <w:lang w:val="en-GB"/>
              </w:rPr>
              <w:t xml:space="preserve">: vertical councils, bilateral IGA; weak horizontal IGR </w:t>
            </w:r>
            <w:r w:rsidRPr="00074A56">
              <w:rPr>
                <w:rFonts w:cs="Times New Roman"/>
                <w:lang w:val="en-GB"/>
              </w:rPr>
              <w:sym w:font="Wingdings" w:char="F0E0"/>
            </w:r>
            <w:r w:rsidRPr="00074A56">
              <w:rPr>
                <w:rFonts w:cs="Times New Roman"/>
                <w:lang w:val="en-GB"/>
              </w:rPr>
              <w:t xml:space="preserve"> top-down</w:t>
            </w:r>
          </w:p>
          <w:p w14:paraId="47152399" w14:textId="77777777" w:rsidR="00DE6F11" w:rsidRPr="00074A56" w:rsidRDefault="00DE6F11" w:rsidP="00074A56">
            <w:pPr>
              <w:numPr>
                <w:ilvl w:val="0"/>
                <w:numId w:val="5"/>
              </w:numPr>
              <w:spacing w:after="0" w:line="360" w:lineRule="auto"/>
              <w:rPr>
                <w:rFonts w:cs="Times New Roman"/>
                <w:lang w:val="en-GB"/>
              </w:rPr>
            </w:pPr>
            <w:r w:rsidRPr="00074A56">
              <w:rPr>
                <w:rFonts w:cs="Times New Roman"/>
                <w:i/>
                <w:iCs/>
                <w:lang w:val="en-GB"/>
              </w:rPr>
              <w:t>Variation</w:t>
            </w:r>
            <w:r w:rsidRPr="00074A56">
              <w:rPr>
                <w:rFonts w:cs="Times New Roman"/>
                <w:lang w:val="en-GB"/>
              </w:rPr>
              <w:t>: horizontal generalist council in MEX (but weak), interstate consortia BRA</w:t>
            </w:r>
          </w:p>
        </w:tc>
        <w:tc>
          <w:tcPr>
            <w:tcW w:w="4366" w:type="dxa"/>
            <w:tcBorders>
              <w:top w:val="single" w:sz="8" w:space="0" w:color="FFFFFF"/>
              <w:left w:val="single" w:sz="8" w:space="0" w:color="FFFFFF"/>
              <w:bottom w:val="single" w:sz="8" w:space="0" w:color="FFFFFF"/>
              <w:right w:val="single" w:sz="8" w:space="0" w:color="FFFFFF"/>
            </w:tcBorders>
            <w:shd w:val="clear" w:color="auto" w:fill="D9E4DF"/>
            <w:tcMar>
              <w:top w:w="72" w:type="dxa"/>
              <w:left w:w="144" w:type="dxa"/>
              <w:bottom w:w="72" w:type="dxa"/>
              <w:right w:w="144" w:type="dxa"/>
            </w:tcMar>
            <w:hideMark/>
          </w:tcPr>
          <w:p w14:paraId="1103719D" w14:textId="77777777" w:rsidR="00DE6F11" w:rsidRPr="00074A56" w:rsidRDefault="00DE6F11" w:rsidP="00074A56">
            <w:pPr>
              <w:numPr>
                <w:ilvl w:val="0"/>
                <w:numId w:val="5"/>
              </w:numPr>
              <w:spacing w:after="0" w:line="360" w:lineRule="auto"/>
              <w:rPr>
                <w:rFonts w:cs="Times New Roman"/>
                <w:lang w:val="en-GB"/>
              </w:rPr>
            </w:pPr>
            <w:r w:rsidRPr="00074A56">
              <w:rPr>
                <w:rFonts w:cs="Times New Roman"/>
                <w:lang w:val="en-GB"/>
              </w:rPr>
              <w:t>Advisory role; distinctive weakness?</w:t>
            </w:r>
          </w:p>
          <w:p w14:paraId="4C2A487C" w14:textId="77777777" w:rsidR="00DE6F11" w:rsidRPr="00074A56" w:rsidRDefault="00DE6F11" w:rsidP="00074A56">
            <w:pPr>
              <w:numPr>
                <w:ilvl w:val="0"/>
                <w:numId w:val="5"/>
              </w:numPr>
              <w:spacing w:after="0" w:line="360" w:lineRule="auto"/>
              <w:rPr>
                <w:rFonts w:cs="Times New Roman"/>
                <w:lang w:val="en-GB"/>
              </w:rPr>
            </w:pPr>
            <w:r w:rsidRPr="00074A56">
              <w:rPr>
                <w:rFonts w:cs="Times New Roman"/>
                <w:lang w:val="en-GB"/>
              </w:rPr>
              <w:t>Generalist councils like in other federations, mostly vertical generalist council (= AUS; ≠ DEU, CHE)</w:t>
            </w:r>
          </w:p>
        </w:tc>
      </w:tr>
    </w:tbl>
    <w:p w14:paraId="5F392A9B" w14:textId="0E7DA632" w:rsidR="00453D2A" w:rsidRDefault="00DB0675" w:rsidP="00453D2A">
      <w:pPr>
        <w:spacing w:after="0" w:line="360" w:lineRule="auto"/>
        <w:rPr>
          <w:rFonts w:cs="Times New Roman"/>
          <w:lang w:val="en-GB"/>
        </w:rPr>
      </w:pPr>
      <w:bookmarkStart w:id="2" w:name="conclusions-and-research-agenda"/>
      <w:bookmarkEnd w:id="1"/>
      <w:r w:rsidRPr="00DB0675">
        <w:rPr>
          <w:rFonts w:cs="Times New Roman"/>
          <w:lang w:val="en-GB"/>
        </w:rPr>
        <w:t>Source: Authors' elaboration based on Grin et al. (2026). Note: FSP = federal spending power; FEQ = fiscal equalisation; IGA = intergovernmental agreements.</w:t>
      </w:r>
    </w:p>
    <w:p w14:paraId="0CFFE62D" w14:textId="77777777" w:rsidR="00DB0675" w:rsidRDefault="00DB0675" w:rsidP="00453D2A">
      <w:pPr>
        <w:spacing w:after="0" w:line="360" w:lineRule="auto"/>
        <w:rPr>
          <w:rFonts w:cs="Times New Roman"/>
          <w:lang w:val="en-GB"/>
        </w:rPr>
      </w:pPr>
    </w:p>
    <w:p w14:paraId="11E3FA7F" w14:textId="77777777" w:rsidR="00DB0675" w:rsidRPr="00453D2A" w:rsidRDefault="00DB0675" w:rsidP="00453D2A">
      <w:pPr>
        <w:spacing w:after="0" w:line="360" w:lineRule="auto"/>
        <w:rPr>
          <w:rFonts w:cs="Times New Roman"/>
          <w:lang w:val="en-GB"/>
        </w:rPr>
      </w:pPr>
    </w:p>
    <w:p w14:paraId="3DD5CF96" w14:textId="2F246163" w:rsidR="00453D2A" w:rsidRPr="00DB0675" w:rsidRDefault="00453D2A" w:rsidP="00453D2A">
      <w:pPr>
        <w:spacing w:after="0" w:line="360" w:lineRule="auto"/>
        <w:rPr>
          <w:rFonts w:cs="Times New Roman"/>
          <w:b/>
          <w:bCs/>
          <w:lang w:val="en-GB"/>
        </w:rPr>
      </w:pPr>
      <w:r w:rsidRPr="00DB0675">
        <w:rPr>
          <w:rFonts w:cs="Times New Roman"/>
          <w:b/>
          <w:bCs/>
          <w:lang w:val="en-GB"/>
        </w:rPr>
        <w:t>5. Conclusions and research agenda</w:t>
      </w:r>
    </w:p>
    <w:p w14:paraId="5AB75135" w14:textId="5CC2211D" w:rsidR="002D28B7" w:rsidRPr="00074A56" w:rsidRDefault="00000000" w:rsidP="000E7FE0">
      <w:pPr>
        <w:rPr>
          <w:lang w:val="en-GB"/>
        </w:rPr>
      </w:pPr>
      <w:r w:rsidRPr="00074A56">
        <w:rPr>
          <w:lang w:val="en-GB"/>
        </w:rPr>
        <w:t xml:space="preserve">Argentina, Brazil, Mexico and Spain </w:t>
      </w:r>
      <w:r w:rsidR="00C267C0" w:rsidRPr="00C267C0">
        <w:rPr>
          <w:lang w:val="en-GB"/>
        </w:rPr>
        <w:t xml:space="preserve">fulfil the criteria of constitutional recognition and direct relationship with the people, partly fulfil that of entrenchment, but </w:t>
      </w:r>
      <w:r w:rsidR="00066BAF">
        <w:rPr>
          <w:lang w:val="en-GB"/>
        </w:rPr>
        <w:t>exhibit a lack of</w:t>
      </w:r>
      <w:r w:rsidR="00066BAF" w:rsidRPr="00C267C0">
        <w:rPr>
          <w:lang w:val="en-GB"/>
        </w:rPr>
        <w:t xml:space="preserve"> </w:t>
      </w:r>
      <w:r w:rsidR="00C267C0" w:rsidRPr="00C267C0">
        <w:rPr>
          <w:lang w:val="en-GB"/>
        </w:rPr>
        <w:t>meaningful autonomy</w:t>
      </w:r>
      <w:r w:rsidR="00066BAF">
        <w:rPr>
          <w:lang w:val="en-GB"/>
        </w:rPr>
        <w:t xml:space="preserve"> of the constituent units</w:t>
      </w:r>
      <w:r w:rsidRPr="00074A56">
        <w:rPr>
          <w:lang w:val="en-GB"/>
        </w:rPr>
        <w:t xml:space="preserve">. They share </w:t>
      </w:r>
      <w:r w:rsidR="00066BAF">
        <w:rPr>
          <w:lang w:val="en-GB"/>
        </w:rPr>
        <w:t>some</w:t>
      </w:r>
      <w:r w:rsidR="00066BAF" w:rsidRPr="00074A56">
        <w:rPr>
          <w:lang w:val="en-GB"/>
        </w:rPr>
        <w:t xml:space="preserve"> </w:t>
      </w:r>
      <w:r w:rsidRPr="00074A56">
        <w:rPr>
          <w:lang w:val="en-GB"/>
        </w:rPr>
        <w:t xml:space="preserve">features—most notably the extensive use of framework legislation—but these features vary across the four and </w:t>
      </w:r>
      <w:r w:rsidR="00066BAF">
        <w:rPr>
          <w:lang w:val="en-GB"/>
        </w:rPr>
        <w:t>resemble features in other federations</w:t>
      </w:r>
      <w:r w:rsidRPr="00074A56">
        <w:rPr>
          <w:lang w:val="en-GB"/>
        </w:rPr>
        <w:t xml:space="preserve">. </w:t>
      </w:r>
      <w:r w:rsidR="00066BAF">
        <w:rPr>
          <w:lang w:val="en-GB"/>
        </w:rPr>
        <w:t>Thus, t</w:t>
      </w:r>
      <w:r w:rsidRPr="00074A56">
        <w:rPr>
          <w:lang w:val="en-GB"/>
        </w:rPr>
        <w:t xml:space="preserve">here is no distinct Ibero-American model; these are centralised variants of familiar federal patterns. </w:t>
      </w:r>
      <w:r w:rsidR="00066BAF">
        <w:rPr>
          <w:lang w:val="en-GB"/>
        </w:rPr>
        <w:t>IGR</w:t>
      </w:r>
      <w:r w:rsidR="00066BAF" w:rsidRPr="00074A56">
        <w:rPr>
          <w:lang w:val="en-GB"/>
        </w:rPr>
        <w:t xml:space="preserve"> </w:t>
      </w:r>
      <w:r w:rsidRPr="00074A56">
        <w:rPr>
          <w:lang w:val="en-GB"/>
        </w:rPr>
        <w:t xml:space="preserve">rule, in particular, is </w:t>
      </w:r>
      <w:r w:rsidR="00066BAF">
        <w:rPr>
          <w:lang w:val="en-GB"/>
        </w:rPr>
        <w:t xml:space="preserve">a matter of </w:t>
      </w:r>
      <w:r w:rsidRPr="00074A56">
        <w:rPr>
          <w:lang w:val="en-GB"/>
        </w:rPr>
        <w:t>executive</w:t>
      </w:r>
      <w:r w:rsidR="00066BAF">
        <w:rPr>
          <w:lang w:val="en-GB"/>
        </w:rPr>
        <w:t>s</w:t>
      </w:r>
      <w:r w:rsidRPr="00074A56">
        <w:rPr>
          <w:lang w:val="en-GB"/>
        </w:rPr>
        <w:t>, centrally steered</w:t>
      </w:r>
      <w:r w:rsidR="00066BAF">
        <w:rPr>
          <w:lang w:val="en-GB"/>
        </w:rPr>
        <w:t>,</w:t>
      </w:r>
      <w:r w:rsidRPr="00074A56">
        <w:rPr>
          <w:lang w:val="en-GB"/>
        </w:rPr>
        <w:t xml:space="preserve"> and largely confined to implementation.</w:t>
      </w:r>
    </w:p>
    <w:p w14:paraId="6E479977" w14:textId="46E3307D" w:rsidR="00035BB0" w:rsidRPr="000E7FE0" w:rsidRDefault="00000000" w:rsidP="000E7FE0">
      <w:pPr>
        <w:rPr>
          <w:lang w:val="en-GB"/>
        </w:rPr>
      </w:pPr>
      <w:r w:rsidRPr="00074A56">
        <w:rPr>
          <w:lang w:val="en-GB"/>
        </w:rPr>
        <w:t xml:space="preserve">What is distinctive, however, is the trajectory. In Ibero-America, decentralisation and federalisation were closely tied to the return of democracy after decades of authoritarian rule; they were seen as instruments to prevent authoritarian reversals and bring government closer to citizens. The relationship between federalism and democracy remains, nevertheless, ambivalent. </w:t>
      </w:r>
      <w:r w:rsidR="00035BB0">
        <w:rPr>
          <w:lang w:val="en-GB"/>
        </w:rPr>
        <w:t>B</w:t>
      </w:r>
      <w:r w:rsidRPr="00074A56">
        <w:rPr>
          <w:lang w:val="en-GB"/>
        </w:rPr>
        <w:t xml:space="preserve">razil’s federal structure was one of the barriers to democratic backsliding under Bolsonaro. In Argentina and Mexico, by contrast, democratic erosion has gone hand in hand with attacks on federalism, through recentralisation in Mexico and cuts and suspensions of transfers in Argentina. </w:t>
      </w:r>
    </w:p>
    <w:p w14:paraId="08255AC4" w14:textId="4ED7D0E6" w:rsidR="002D28B7" w:rsidRDefault="00000000" w:rsidP="000E7FE0">
      <w:pPr>
        <w:rPr>
          <w:lang w:val="en-GB"/>
        </w:rPr>
      </w:pPr>
      <w:r w:rsidRPr="00074A56">
        <w:rPr>
          <w:lang w:val="en-GB"/>
        </w:rPr>
        <w:t xml:space="preserve">Several questions follow for comparative research. First, how do these federations address territorial inequalities, corruption and democratic backsliding, and does their federal structure help or hinder? Unequal state capacity across constituent units is a key factor here. Second, are federations and quasi-federations in other regions similarly centralised variants of classical patterns? Third, how can we assess whether autonomy is </w:t>
      </w:r>
      <w:r w:rsidRPr="00074A56">
        <w:rPr>
          <w:lang w:val="en-GB"/>
        </w:rPr>
        <w:lastRenderedPageBreak/>
        <w:t>meaningful rather than merely formal? Finally, new challenges—gender equality, climate change, the effects of supranational integration and the rise of authoritarian populism—will shape the balance between centralisation and decentralisation in the coming years.</w:t>
      </w:r>
      <w:r w:rsidR="00AD0C19">
        <w:rPr>
          <w:lang w:val="en-GB"/>
        </w:rPr>
        <w:t xml:space="preserve"> Our book touches upon these challenges and points to need for further systematic and comparative research</w:t>
      </w:r>
      <w:r w:rsidR="00340E25">
        <w:rPr>
          <w:lang w:val="en-GB"/>
        </w:rPr>
        <w:t>—across Ibero-American federations and with other federal countries</w:t>
      </w:r>
      <w:r w:rsidR="00AD0C19">
        <w:rPr>
          <w:lang w:val="en-GB"/>
        </w:rPr>
        <w:t xml:space="preserve">. </w:t>
      </w:r>
    </w:p>
    <w:p w14:paraId="4A1095DA" w14:textId="77777777" w:rsidR="00DB0675" w:rsidRPr="00074A56" w:rsidRDefault="00DB0675" w:rsidP="00074A56">
      <w:pPr>
        <w:spacing w:after="0" w:line="360" w:lineRule="auto"/>
        <w:rPr>
          <w:rFonts w:cs="Times New Roman"/>
          <w:lang w:val="en-GB"/>
        </w:rPr>
      </w:pPr>
    </w:p>
    <w:p w14:paraId="7203194C" w14:textId="0A29B3E4" w:rsidR="00DB0675" w:rsidRPr="00DB0675" w:rsidRDefault="00DB0675" w:rsidP="00074A56">
      <w:pPr>
        <w:spacing w:after="0" w:line="360" w:lineRule="auto"/>
        <w:rPr>
          <w:rFonts w:cs="Times New Roman"/>
          <w:b/>
          <w:bCs/>
          <w:lang w:val="en-GB"/>
        </w:rPr>
      </w:pPr>
      <w:bookmarkStart w:id="3" w:name="references"/>
      <w:bookmarkEnd w:id="2"/>
      <w:r w:rsidRPr="00DB0675">
        <w:rPr>
          <w:rFonts w:cs="Times New Roman"/>
          <w:b/>
          <w:bCs/>
          <w:lang w:val="en-GB"/>
        </w:rPr>
        <w:t>References</w:t>
      </w:r>
    </w:p>
    <w:p w14:paraId="52764AF1" w14:textId="5848842B" w:rsidR="00DB0675" w:rsidRDefault="00DB0675" w:rsidP="00074A56">
      <w:pPr>
        <w:spacing w:after="0" w:line="360" w:lineRule="auto"/>
        <w:rPr>
          <w:rFonts w:cs="Times New Roman"/>
          <w:lang w:val="en-GB"/>
        </w:rPr>
      </w:pPr>
      <w:r w:rsidRPr="00DB0675">
        <w:rPr>
          <w:rFonts w:cs="Times New Roman"/>
          <w:lang w:val="en-GB"/>
        </w:rPr>
        <w:t xml:space="preserve">Dardanelli, P., Kincaid, J., Fenna, A., Kaiser, A., Lecours, A., &amp; Kumar Singh, A. (2019). Conceptualizing, measuring, and theorizing dynamic de/centralization in federations. Publius: The Journal of Federalism, 49(1), 1–29. </w:t>
      </w:r>
      <w:hyperlink r:id="rId9" w:history="1">
        <w:r w:rsidRPr="00AD3BAD">
          <w:rPr>
            <w:rStyle w:val="Lienhypertexte"/>
            <w:rFonts w:cs="Times New Roman"/>
            <w:lang w:val="en-GB"/>
          </w:rPr>
          <w:t>https://doi.org/10.1093/publius/pjy036</w:t>
        </w:r>
      </w:hyperlink>
    </w:p>
    <w:p w14:paraId="7948650F" w14:textId="69D2AE51" w:rsidR="002D28B7" w:rsidRPr="00074A56" w:rsidRDefault="00000000" w:rsidP="00074A56">
      <w:pPr>
        <w:spacing w:after="0" w:line="360" w:lineRule="auto"/>
        <w:rPr>
          <w:rFonts w:cs="Times New Roman"/>
          <w:lang w:val="en-GB"/>
        </w:rPr>
      </w:pPr>
      <w:r w:rsidRPr="00074A56">
        <w:rPr>
          <w:rFonts w:cs="Times New Roman"/>
          <w:lang w:val="en-GB"/>
        </w:rPr>
        <w:t xml:space="preserve">Fenna, A., &amp; Schnabel, J. (2024). What is Federalism? Some Definitional Clarification. </w:t>
      </w:r>
      <w:r w:rsidRPr="00074A56">
        <w:rPr>
          <w:rFonts w:cs="Times New Roman"/>
          <w:i/>
          <w:iCs/>
          <w:lang w:val="en-GB"/>
        </w:rPr>
        <w:t>Publius: The Journal of Federalism</w:t>
      </w:r>
      <w:r w:rsidRPr="00074A56">
        <w:rPr>
          <w:rFonts w:cs="Times New Roman"/>
          <w:lang w:val="en-GB"/>
        </w:rPr>
        <w:t>, 54(2), 179–200. https://doi.org/10.1093/publius/pjad034</w:t>
      </w:r>
    </w:p>
    <w:p w14:paraId="6959EEB4" w14:textId="77777777" w:rsidR="002D28B7" w:rsidRPr="00074A56" w:rsidRDefault="00000000" w:rsidP="00074A56">
      <w:pPr>
        <w:spacing w:after="0" w:line="360" w:lineRule="auto"/>
        <w:rPr>
          <w:rFonts w:cs="Times New Roman"/>
          <w:lang w:val="en-GB"/>
        </w:rPr>
      </w:pPr>
      <w:r w:rsidRPr="00074A56">
        <w:rPr>
          <w:rFonts w:cs="Times New Roman"/>
          <w:lang w:val="en-GB"/>
        </w:rPr>
        <w:t xml:space="preserve">Fenna, A., &amp; Schnabel, J. (2025). Defining Federalism: A Rejoinder to </w:t>
      </w:r>
      <w:proofErr w:type="spellStart"/>
      <w:r w:rsidRPr="00074A56">
        <w:rPr>
          <w:rFonts w:cs="Times New Roman"/>
          <w:lang w:val="en-GB"/>
        </w:rPr>
        <w:t>Hueglin</w:t>
      </w:r>
      <w:proofErr w:type="spellEnd"/>
      <w:r w:rsidRPr="00074A56">
        <w:rPr>
          <w:rFonts w:cs="Times New Roman"/>
          <w:lang w:val="en-GB"/>
        </w:rPr>
        <w:t xml:space="preserve"> and Mueller. </w:t>
      </w:r>
      <w:r w:rsidRPr="00074A56">
        <w:rPr>
          <w:rFonts w:cs="Times New Roman"/>
          <w:i/>
          <w:iCs/>
          <w:lang w:val="en-GB"/>
        </w:rPr>
        <w:t>Publius: The Journal of Federalism</w:t>
      </w:r>
      <w:r w:rsidRPr="00074A56">
        <w:rPr>
          <w:rFonts w:cs="Times New Roman"/>
          <w:lang w:val="en-GB"/>
        </w:rPr>
        <w:t>, 55(2), 408–413. https://doi.org/10.1093/publius/pjaf005</w:t>
      </w:r>
    </w:p>
    <w:p w14:paraId="3A274BC7" w14:textId="77777777" w:rsidR="002D28B7" w:rsidRPr="00074A56" w:rsidRDefault="00000000" w:rsidP="00074A56">
      <w:pPr>
        <w:spacing w:after="0" w:line="360" w:lineRule="auto"/>
        <w:rPr>
          <w:rFonts w:cs="Times New Roman"/>
          <w:lang w:val="en-GB"/>
        </w:rPr>
      </w:pPr>
      <w:r w:rsidRPr="00074A56">
        <w:rPr>
          <w:rFonts w:cs="Times New Roman"/>
          <w:lang w:val="en-GB"/>
        </w:rPr>
        <w:t xml:space="preserve">Grin, E., Schnabel, J., </w:t>
      </w:r>
      <w:proofErr w:type="spellStart"/>
      <w:r w:rsidRPr="00074A56">
        <w:rPr>
          <w:rFonts w:cs="Times New Roman"/>
          <w:lang w:val="en-GB"/>
        </w:rPr>
        <w:t>Kölling</w:t>
      </w:r>
      <w:proofErr w:type="spellEnd"/>
      <w:r w:rsidRPr="00074A56">
        <w:rPr>
          <w:rFonts w:cs="Times New Roman"/>
          <w:lang w:val="en-GB"/>
        </w:rPr>
        <w:t xml:space="preserve">, M., &amp; Mendoza Ruiz, J. (Eds.) (2026). </w:t>
      </w:r>
      <w:r w:rsidRPr="00074A56">
        <w:rPr>
          <w:rFonts w:cs="Times New Roman"/>
          <w:i/>
          <w:iCs/>
          <w:lang w:val="en-GB"/>
        </w:rPr>
        <w:t>Handbook on Federalism in Ibero-America: A Comparative Analysis</w:t>
      </w:r>
      <w:r w:rsidRPr="00074A56">
        <w:rPr>
          <w:rFonts w:cs="Times New Roman"/>
          <w:lang w:val="en-GB"/>
        </w:rPr>
        <w:t>. Routledge (Open Access).</w:t>
      </w:r>
    </w:p>
    <w:p w14:paraId="1092E9B6" w14:textId="6ACEAD18" w:rsidR="002D28B7" w:rsidRDefault="00000000" w:rsidP="00074A56">
      <w:pPr>
        <w:spacing w:after="0" w:line="360" w:lineRule="auto"/>
        <w:rPr>
          <w:rFonts w:cs="Times New Roman"/>
          <w:lang w:val="en-GB"/>
        </w:rPr>
      </w:pPr>
      <w:r w:rsidRPr="00074A56">
        <w:rPr>
          <w:rFonts w:cs="Times New Roman"/>
          <w:lang w:val="en-GB"/>
        </w:rPr>
        <w:t xml:space="preserve">Mueller, S., &amp; Fenna, A. (2022). Dual versus Administrative Federalism: Origins and Evolution of Two Models. </w:t>
      </w:r>
      <w:r w:rsidRPr="00074A56">
        <w:rPr>
          <w:rFonts w:cs="Times New Roman"/>
          <w:i/>
          <w:iCs/>
          <w:lang w:val="en-GB"/>
        </w:rPr>
        <w:t>Publius: The Journal of Federalism</w:t>
      </w:r>
      <w:r w:rsidRPr="00074A56">
        <w:rPr>
          <w:rFonts w:cs="Times New Roman"/>
          <w:lang w:val="en-GB"/>
        </w:rPr>
        <w:t xml:space="preserve">, 52(4), 525–552. </w:t>
      </w:r>
      <w:hyperlink r:id="rId10" w:history="1">
        <w:r w:rsidR="00DB0675" w:rsidRPr="00AD3BAD">
          <w:rPr>
            <w:rStyle w:val="Lienhypertexte"/>
            <w:rFonts w:cs="Times New Roman"/>
            <w:lang w:val="en-GB"/>
          </w:rPr>
          <w:t>https://doi.org/10.1093/publius/pjac008</w:t>
        </w:r>
      </w:hyperlink>
      <w:bookmarkEnd w:id="3"/>
    </w:p>
    <w:p w14:paraId="1871B54D" w14:textId="14BF2B50" w:rsidR="00DB0675" w:rsidRDefault="00DB0675" w:rsidP="00074A56">
      <w:pPr>
        <w:spacing w:after="0" w:line="360" w:lineRule="auto"/>
        <w:rPr>
          <w:rFonts w:cs="Times New Roman"/>
          <w:lang w:val="en-GB"/>
        </w:rPr>
      </w:pPr>
      <w:r w:rsidRPr="00DB0675">
        <w:rPr>
          <w:rFonts w:cs="Times New Roman"/>
          <w:lang w:val="en-GB"/>
        </w:rPr>
        <w:t xml:space="preserve">Stepan, A. (1999). Federalism and democracy: Beyond the U.S. model. Journal of Democracy, 10(4), 19–34. </w:t>
      </w:r>
      <w:hyperlink r:id="rId11" w:history="1">
        <w:r w:rsidR="009E38E1" w:rsidRPr="001C2410">
          <w:rPr>
            <w:rStyle w:val="Lienhypertexte"/>
            <w:rFonts w:cs="Times New Roman"/>
            <w:lang w:val="en-GB"/>
          </w:rPr>
          <w:t>https://doi.org/10.1353/jod.1999.0072</w:t>
        </w:r>
      </w:hyperlink>
    </w:p>
    <w:p w14:paraId="63226284" w14:textId="60ECF71B" w:rsidR="009E38E1" w:rsidRPr="00074A56" w:rsidRDefault="009E38E1" w:rsidP="00074A56">
      <w:pPr>
        <w:spacing w:after="0" w:line="360" w:lineRule="auto"/>
        <w:rPr>
          <w:rFonts w:cs="Times New Roman"/>
          <w:lang w:val="en-GB"/>
        </w:rPr>
      </w:pPr>
      <w:r w:rsidRPr="009E38E1">
        <w:rPr>
          <w:rFonts w:cs="Times New Roman"/>
          <w:lang w:val="en-GB"/>
        </w:rPr>
        <w:t xml:space="preserve">Tudela Aranda, J., &amp; </w:t>
      </w:r>
      <w:proofErr w:type="spellStart"/>
      <w:r w:rsidRPr="009E38E1">
        <w:rPr>
          <w:rFonts w:cs="Times New Roman"/>
          <w:lang w:val="en-GB"/>
        </w:rPr>
        <w:t>Kölling</w:t>
      </w:r>
      <w:proofErr w:type="spellEnd"/>
      <w:r w:rsidRPr="009E38E1">
        <w:rPr>
          <w:rFonts w:cs="Times New Roman"/>
          <w:lang w:val="en-GB"/>
        </w:rPr>
        <w:t xml:space="preserve">, M. (2020). Spain (Kingdom of Spain): A union of autonomous communities. </w:t>
      </w:r>
      <w:r>
        <w:rPr>
          <w:rFonts w:cs="Times New Roman"/>
          <w:lang w:val="en-GB"/>
        </w:rPr>
        <w:t>I</w:t>
      </w:r>
      <w:r w:rsidRPr="009E38E1">
        <w:rPr>
          <w:rFonts w:cs="Times New Roman"/>
          <w:lang w:val="en-GB"/>
        </w:rPr>
        <w:t>n A. L. Griffiths, R. Chattopadhyay, J. Light y C. Stieren (Eds.), The Forum of Federations handbook of federal countries 2020 (pp. 329–340). Palgrave Macmillan. https://doi.org/10.1007/978-3-030-42088-8_24</w:t>
      </w:r>
    </w:p>
    <w:sectPr w:rsidR="009E38E1" w:rsidRPr="00074A5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586EB3" w14:textId="77777777" w:rsidR="00161AE9" w:rsidRDefault="00161AE9">
      <w:pPr>
        <w:spacing w:after="0" w:line="240" w:lineRule="auto"/>
      </w:pPr>
      <w:r>
        <w:separator/>
      </w:r>
    </w:p>
  </w:endnote>
  <w:endnote w:type="continuationSeparator" w:id="0">
    <w:p w14:paraId="5D0358FC" w14:textId="77777777" w:rsidR="00161AE9" w:rsidRDefault="00161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F5C129" w14:textId="77777777" w:rsidR="00161AE9" w:rsidRDefault="00161AE9">
      <w:r>
        <w:separator/>
      </w:r>
    </w:p>
  </w:footnote>
  <w:footnote w:type="continuationSeparator" w:id="0">
    <w:p w14:paraId="00AB55B7" w14:textId="77777777" w:rsidR="00161AE9" w:rsidRDefault="00161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C58E4F2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A366D4F"/>
    <w:multiLevelType w:val="hybridMultilevel"/>
    <w:tmpl w:val="7F64ADD2"/>
    <w:lvl w:ilvl="0" w:tplc="02DC2EEE">
      <w:start w:val="1"/>
      <w:numFmt w:val="bullet"/>
      <w:lvlText w:val="•"/>
      <w:lvlJc w:val="left"/>
      <w:pPr>
        <w:tabs>
          <w:tab w:val="num" w:pos="720"/>
        </w:tabs>
        <w:ind w:left="720" w:hanging="360"/>
      </w:pPr>
      <w:rPr>
        <w:rFonts w:ascii="Arial" w:hAnsi="Arial" w:hint="default"/>
      </w:rPr>
    </w:lvl>
    <w:lvl w:ilvl="1" w:tplc="E4401306" w:tentative="1">
      <w:start w:val="1"/>
      <w:numFmt w:val="bullet"/>
      <w:lvlText w:val="•"/>
      <w:lvlJc w:val="left"/>
      <w:pPr>
        <w:tabs>
          <w:tab w:val="num" w:pos="1440"/>
        </w:tabs>
        <w:ind w:left="1440" w:hanging="360"/>
      </w:pPr>
      <w:rPr>
        <w:rFonts w:ascii="Arial" w:hAnsi="Arial" w:hint="default"/>
      </w:rPr>
    </w:lvl>
    <w:lvl w:ilvl="2" w:tplc="10F4DABC" w:tentative="1">
      <w:start w:val="1"/>
      <w:numFmt w:val="bullet"/>
      <w:lvlText w:val="•"/>
      <w:lvlJc w:val="left"/>
      <w:pPr>
        <w:tabs>
          <w:tab w:val="num" w:pos="2160"/>
        </w:tabs>
        <w:ind w:left="2160" w:hanging="360"/>
      </w:pPr>
      <w:rPr>
        <w:rFonts w:ascii="Arial" w:hAnsi="Arial" w:hint="default"/>
      </w:rPr>
    </w:lvl>
    <w:lvl w:ilvl="3" w:tplc="E820BE1C" w:tentative="1">
      <w:start w:val="1"/>
      <w:numFmt w:val="bullet"/>
      <w:lvlText w:val="•"/>
      <w:lvlJc w:val="left"/>
      <w:pPr>
        <w:tabs>
          <w:tab w:val="num" w:pos="2880"/>
        </w:tabs>
        <w:ind w:left="2880" w:hanging="360"/>
      </w:pPr>
      <w:rPr>
        <w:rFonts w:ascii="Arial" w:hAnsi="Arial" w:hint="default"/>
      </w:rPr>
    </w:lvl>
    <w:lvl w:ilvl="4" w:tplc="A80E9D14" w:tentative="1">
      <w:start w:val="1"/>
      <w:numFmt w:val="bullet"/>
      <w:lvlText w:val="•"/>
      <w:lvlJc w:val="left"/>
      <w:pPr>
        <w:tabs>
          <w:tab w:val="num" w:pos="3600"/>
        </w:tabs>
        <w:ind w:left="3600" w:hanging="360"/>
      </w:pPr>
      <w:rPr>
        <w:rFonts w:ascii="Arial" w:hAnsi="Arial" w:hint="default"/>
      </w:rPr>
    </w:lvl>
    <w:lvl w:ilvl="5" w:tplc="7DFA79DC" w:tentative="1">
      <w:start w:val="1"/>
      <w:numFmt w:val="bullet"/>
      <w:lvlText w:val="•"/>
      <w:lvlJc w:val="left"/>
      <w:pPr>
        <w:tabs>
          <w:tab w:val="num" w:pos="4320"/>
        </w:tabs>
        <w:ind w:left="4320" w:hanging="360"/>
      </w:pPr>
      <w:rPr>
        <w:rFonts w:ascii="Arial" w:hAnsi="Arial" w:hint="default"/>
      </w:rPr>
    </w:lvl>
    <w:lvl w:ilvl="6" w:tplc="8794BEEE" w:tentative="1">
      <w:start w:val="1"/>
      <w:numFmt w:val="bullet"/>
      <w:lvlText w:val="•"/>
      <w:lvlJc w:val="left"/>
      <w:pPr>
        <w:tabs>
          <w:tab w:val="num" w:pos="5040"/>
        </w:tabs>
        <w:ind w:left="5040" w:hanging="360"/>
      </w:pPr>
      <w:rPr>
        <w:rFonts w:ascii="Arial" w:hAnsi="Arial" w:hint="default"/>
      </w:rPr>
    </w:lvl>
    <w:lvl w:ilvl="7" w:tplc="4874FC84" w:tentative="1">
      <w:start w:val="1"/>
      <w:numFmt w:val="bullet"/>
      <w:lvlText w:val="•"/>
      <w:lvlJc w:val="left"/>
      <w:pPr>
        <w:tabs>
          <w:tab w:val="num" w:pos="5760"/>
        </w:tabs>
        <w:ind w:left="5760" w:hanging="360"/>
      </w:pPr>
      <w:rPr>
        <w:rFonts w:ascii="Arial" w:hAnsi="Arial" w:hint="default"/>
      </w:rPr>
    </w:lvl>
    <w:lvl w:ilvl="8" w:tplc="D9807E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D90DFF"/>
    <w:multiLevelType w:val="hybridMultilevel"/>
    <w:tmpl w:val="64B61F78"/>
    <w:lvl w:ilvl="0" w:tplc="98F228FE">
      <w:start w:val="1"/>
      <w:numFmt w:val="bullet"/>
      <w:lvlText w:val="•"/>
      <w:lvlJc w:val="left"/>
      <w:pPr>
        <w:tabs>
          <w:tab w:val="num" w:pos="720"/>
        </w:tabs>
        <w:ind w:left="720" w:hanging="360"/>
      </w:pPr>
      <w:rPr>
        <w:rFonts w:ascii="Arial" w:hAnsi="Arial" w:hint="default"/>
      </w:rPr>
    </w:lvl>
    <w:lvl w:ilvl="1" w:tplc="DD3004B0" w:tentative="1">
      <w:start w:val="1"/>
      <w:numFmt w:val="bullet"/>
      <w:lvlText w:val="•"/>
      <w:lvlJc w:val="left"/>
      <w:pPr>
        <w:tabs>
          <w:tab w:val="num" w:pos="1440"/>
        </w:tabs>
        <w:ind w:left="1440" w:hanging="360"/>
      </w:pPr>
      <w:rPr>
        <w:rFonts w:ascii="Arial" w:hAnsi="Arial" w:hint="default"/>
      </w:rPr>
    </w:lvl>
    <w:lvl w:ilvl="2" w:tplc="4BD6E1EE" w:tentative="1">
      <w:start w:val="1"/>
      <w:numFmt w:val="bullet"/>
      <w:lvlText w:val="•"/>
      <w:lvlJc w:val="left"/>
      <w:pPr>
        <w:tabs>
          <w:tab w:val="num" w:pos="2160"/>
        </w:tabs>
        <w:ind w:left="2160" w:hanging="360"/>
      </w:pPr>
      <w:rPr>
        <w:rFonts w:ascii="Arial" w:hAnsi="Arial" w:hint="default"/>
      </w:rPr>
    </w:lvl>
    <w:lvl w:ilvl="3" w:tplc="0F325886" w:tentative="1">
      <w:start w:val="1"/>
      <w:numFmt w:val="bullet"/>
      <w:lvlText w:val="•"/>
      <w:lvlJc w:val="left"/>
      <w:pPr>
        <w:tabs>
          <w:tab w:val="num" w:pos="2880"/>
        </w:tabs>
        <w:ind w:left="2880" w:hanging="360"/>
      </w:pPr>
      <w:rPr>
        <w:rFonts w:ascii="Arial" w:hAnsi="Arial" w:hint="default"/>
      </w:rPr>
    </w:lvl>
    <w:lvl w:ilvl="4" w:tplc="6B529C4A" w:tentative="1">
      <w:start w:val="1"/>
      <w:numFmt w:val="bullet"/>
      <w:lvlText w:val="•"/>
      <w:lvlJc w:val="left"/>
      <w:pPr>
        <w:tabs>
          <w:tab w:val="num" w:pos="3600"/>
        </w:tabs>
        <w:ind w:left="3600" w:hanging="360"/>
      </w:pPr>
      <w:rPr>
        <w:rFonts w:ascii="Arial" w:hAnsi="Arial" w:hint="default"/>
      </w:rPr>
    </w:lvl>
    <w:lvl w:ilvl="5" w:tplc="52808EA4" w:tentative="1">
      <w:start w:val="1"/>
      <w:numFmt w:val="bullet"/>
      <w:lvlText w:val="•"/>
      <w:lvlJc w:val="left"/>
      <w:pPr>
        <w:tabs>
          <w:tab w:val="num" w:pos="4320"/>
        </w:tabs>
        <w:ind w:left="4320" w:hanging="360"/>
      </w:pPr>
      <w:rPr>
        <w:rFonts w:ascii="Arial" w:hAnsi="Arial" w:hint="default"/>
      </w:rPr>
    </w:lvl>
    <w:lvl w:ilvl="6" w:tplc="A2A65F54" w:tentative="1">
      <w:start w:val="1"/>
      <w:numFmt w:val="bullet"/>
      <w:lvlText w:val="•"/>
      <w:lvlJc w:val="left"/>
      <w:pPr>
        <w:tabs>
          <w:tab w:val="num" w:pos="5040"/>
        </w:tabs>
        <w:ind w:left="5040" w:hanging="360"/>
      </w:pPr>
      <w:rPr>
        <w:rFonts w:ascii="Arial" w:hAnsi="Arial" w:hint="default"/>
      </w:rPr>
    </w:lvl>
    <w:lvl w:ilvl="7" w:tplc="76CCE392" w:tentative="1">
      <w:start w:val="1"/>
      <w:numFmt w:val="bullet"/>
      <w:lvlText w:val="•"/>
      <w:lvlJc w:val="left"/>
      <w:pPr>
        <w:tabs>
          <w:tab w:val="num" w:pos="5760"/>
        </w:tabs>
        <w:ind w:left="5760" w:hanging="360"/>
      </w:pPr>
      <w:rPr>
        <w:rFonts w:ascii="Arial" w:hAnsi="Arial" w:hint="default"/>
      </w:rPr>
    </w:lvl>
    <w:lvl w:ilvl="8" w:tplc="13B4215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9D6348F"/>
    <w:multiLevelType w:val="hybridMultilevel"/>
    <w:tmpl w:val="03D8E9F2"/>
    <w:lvl w:ilvl="0" w:tplc="B10EFA9E">
      <w:start w:val="1"/>
      <w:numFmt w:val="bullet"/>
      <w:lvlText w:val="•"/>
      <w:lvlJc w:val="left"/>
      <w:pPr>
        <w:tabs>
          <w:tab w:val="num" w:pos="720"/>
        </w:tabs>
        <w:ind w:left="720" w:hanging="360"/>
      </w:pPr>
      <w:rPr>
        <w:rFonts w:ascii="Arial" w:hAnsi="Arial" w:hint="default"/>
      </w:rPr>
    </w:lvl>
    <w:lvl w:ilvl="1" w:tplc="22B01A54" w:tentative="1">
      <w:start w:val="1"/>
      <w:numFmt w:val="bullet"/>
      <w:lvlText w:val="•"/>
      <w:lvlJc w:val="left"/>
      <w:pPr>
        <w:tabs>
          <w:tab w:val="num" w:pos="1440"/>
        </w:tabs>
        <w:ind w:left="1440" w:hanging="360"/>
      </w:pPr>
      <w:rPr>
        <w:rFonts w:ascii="Arial" w:hAnsi="Arial" w:hint="default"/>
      </w:rPr>
    </w:lvl>
    <w:lvl w:ilvl="2" w:tplc="53D4879C" w:tentative="1">
      <w:start w:val="1"/>
      <w:numFmt w:val="bullet"/>
      <w:lvlText w:val="•"/>
      <w:lvlJc w:val="left"/>
      <w:pPr>
        <w:tabs>
          <w:tab w:val="num" w:pos="2160"/>
        </w:tabs>
        <w:ind w:left="2160" w:hanging="360"/>
      </w:pPr>
      <w:rPr>
        <w:rFonts w:ascii="Arial" w:hAnsi="Arial" w:hint="default"/>
      </w:rPr>
    </w:lvl>
    <w:lvl w:ilvl="3" w:tplc="E514D51C" w:tentative="1">
      <w:start w:val="1"/>
      <w:numFmt w:val="bullet"/>
      <w:lvlText w:val="•"/>
      <w:lvlJc w:val="left"/>
      <w:pPr>
        <w:tabs>
          <w:tab w:val="num" w:pos="2880"/>
        </w:tabs>
        <w:ind w:left="2880" w:hanging="360"/>
      </w:pPr>
      <w:rPr>
        <w:rFonts w:ascii="Arial" w:hAnsi="Arial" w:hint="default"/>
      </w:rPr>
    </w:lvl>
    <w:lvl w:ilvl="4" w:tplc="19982B12" w:tentative="1">
      <w:start w:val="1"/>
      <w:numFmt w:val="bullet"/>
      <w:lvlText w:val="•"/>
      <w:lvlJc w:val="left"/>
      <w:pPr>
        <w:tabs>
          <w:tab w:val="num" w:pos="3600"/>
        </w:tabs>
        <w:ind w:left="3600" w:hanging="360"/>
      </w:pPr>
      <w:rPr>
        <w:rFonts w:ascii="Arial" w:hAnsi="Arial" w:hint="default"/>
      </w:rPr>
    </w:lvl>
    <w:lvl w:ilvl="5" w:tplc="DBE20DCE" w:tentative="1">
      <w:start w:val="1"/>
      <w:numFmt w:val="bullet"/>
      <w:lvlText w:val="•"/>
      <w:lvlJc w:val="left"/>
      <w:pPr>
        <w:tabs>
          <w:tab w:val="num" w:pos="4320"/>
        </w:tabs>
        <w:ind w:left="4320" w:hanging="360"/>
      </w:pPr>
      <w:rPr>
        <w:rFonts w:ascii="Arial" w:hAnsi="Arial" w:hint="default"/>
      </w:rPr>
    </w:lvl>
    <w:lvl w:ilvl="6" w:tplc="F8AEECF2" w:tentative="1">
      <w:start w:val="1"/>
      <w:numFmt w:val="bullet"/>
      <w:lvlText w:val="•"/>
      <w:lvlJc w:val="left"/>
      <w:pPr>
        <w:tabs>
          <w:tab w:val="num" w:pos="5040"/>
        </w:tabs>
        <w:ind w:left="5040" w:hanging="360"/>
      </w:pPr>
      <w:rPr>
        <w:rFonts w:ascii="Arial" w:hAnsi="Arial" w:hint="default"/>
      </w:rPr>
    </w:lvl>
    <w:lvl w:ilvl="7" w:tplc="86AABAAC" w:tentative="1">
      <w:start w:val="1"/>
      <w:numFmt w:val="bullet"/>
      <w:lvlText w:val="•"/>
      <w:lvlJc w:val="left"/>
      <w:pPr>
        <w:tabs>
          <w:tab w:val="num" w:pos="5760"/>
        </w:tabs>
        <w:ind w:left="5760" w:hanging="360"/>
      </w:pPr>
      <w:rPr>
        <w:rFonts w:ascii="Arial" w:hAnsi="Arial" w:hint="default"/>
      </w:rPr>
    </w:lvl>
    <w:lvl w:ilvl="8" w:tplc="E118F9B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8524DAD"/>
    <w:multiLevelType w:val="multilevel"/>
    <w:tmpl w:val="725E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408835">
    <w:abstractNumId w:val="4"/>
  </w:num>
  <w:num w:numId="2" w16cid:durableId="527915135">
    <w:abstractNumId w:val="0"/>
  </w:num>
  <w:num w:numId="3" w16cid:durableId="2042313447">
    <w:abstractNumId w:val="3"/>
  </w:num>
  <w:num w:numId="4" w16cid:durableId="1010719622">
    <w:abstractNumId w:val="1"/>
  </w:num>
  <w:num w:numId="5" w16cid:durableId="96974419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B7"/>
    <w:rsid w:val="00035BB0"/>
    <w:rsid w:val="00064C19"/>
    <w:rsid w:val="00065A44"/>
    <w:rsid w:val="00066BAF"/>
    <w:rsid w:val="00074A56"/>
    <w:rsid w:val="000B75DF"/>
    <w:rsid w:val="000D55E9"/>
    <w:rsid w:val="000E7FE0"/>
    <w:rsid w:val="001030C9"/>
    <w:rsid w:val="00137F1D"/>
    <w:rsid w:val="00161AE9"/>
    <w:rsid w:val="00182FC6"/>
    <w:rsid w:val="001B6445"/>
    <w:rsid w:val="001D29DC"/>
    <w:rsid w:val="00202F26"/>
    <w:rsid w:val="0021647B"/>
    <w:rsid w:val="00247FC9"/>
    <w:rsid w:val="002D28B7"/>
    <w:rsid w:val="002E7DA1"/>
    <w:rsid w:val="00340E25"/>
    <w:rsid w:val="003469CF"/>
    <w:rsid w:val="00361FA6"/>
    <w:rsid w:val="003F525F"/>
    <w:rsid w:val="004077F9"/>
    <w:rsid w:val="00453D2A"/>
    <w:rsid w:val="005033E6"/>
    <w:rsid w:val="005F22B6"/>
    <w:rsid w:val="00632064"/>
    <w:rsid w:val="006448A2"/>
    <w:rsid w:val="00665F6C"/>
    <w:rsid w:val="00697EAA"/>
    <w:rsid w:val="007D4637"/>
    <w:rsid w:val="007F666A"/>
    <w:rsid w:val="008443B0"/>
    <w:rsid w:val="008B1070"/>
    <w:rsid w:val="00904E1C"/>
    <w:rsid w:val="009360A1"/>
    <w:rsid w:val="009641DD"/>
    <w:rsid w:val="009C1109"/>
    <w:rsid w:val="009C6D98"/>
    <w:rsid w:val="009E38E1"/>
    <w:rsid w:val="00A306A7"/>
    <w:rsid w:val="00AC3643"/>
    <w:rsid w:val="00AD0C19"/>
    <w:rsid w:val="00B154F7"/>
    <w:rsid w:val="00B348B2"/>
    <w:rsid w:val="00B374AA"/>
    <w:rsid w:val="00C13AFB"/>
    <w:rsid w:val="00C267C0"/>
    <w:rsid w:val="00C301E0"/>
    <w:rsid w:val="00CE5B5B"/>
    <w:rsid w:val="00D05FC8"/>
    <w:rsid w:val="00D15853"/>
    <w:rsid w:val="00DB0675"/>
    <w:rsid w:val="00DE6F11"/>
    <w:rsid w:val="00EE01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30D1"/>
  <w15:docId w15:val="{34380748-C6D0-411B-9BF7-77A9A451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0A1"/>
    <w:pPr>
      <w:spacing w:after="120" w:line="276" w:lineRule="auto"/>
      <w:jc w:val="both"/>
    </w:pPr>
    <w:rPr>
      <w:rFonts w:ascii="Times New Roman" w:hAnsi="Times New Roman"/>
    </w:rPr>
  </w:style>
  <w:style w:type="paragraph" w:styleId="Titre1">
    <w:name w:val="heading 1"/>
    <w:basedOn w:val="Normal"/>
    <w:next w:val="Normal"/>
    <w:link w:val="Titre1Car"/>
    <w:uiPriority w:val="9"/>
    <w:qFormat/>
    <w:rsid w:val="00B36B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36B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36B5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36B5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36B5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36B5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36B5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36B5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36B5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36B5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36B5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36B5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36B5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36B5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36B5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36B5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36B5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36B56"/>
    <w:rPr>
      <w:rFonts w:eastAsiaTheme="majorEastAsia" w:cstheme="majorBidi"/>
      <w:color w:val="272727" w:themeColor="text1" w:themeTint="D8"/>
    </w:rPr>
  </w:style>
  <w:style w:type="paragraph" w:styleId="Titre">
    <w:name w:val="Title"/>
    <w:basedOn w:val="Normal"/>
    <w:next w:val="Normal"/>
    <w:link w:val="TitreCar"/>
    <w:uiPriority w:val="10"/>
    <w:qFormat/>
    <w:rsid w:val="00B36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36B5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36B5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36B5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36B56"/>
    <w:pPr>
      <w:spacing w:before="160"/>
      <w:jc w:val="center"/>
    </w:pPr>
    <w:rPr>
      <w:i/>
      <w:iCs/>
      <w:color w:val="404040" w:themeColor="text1" w:themeTint="BF"/>
    </w:rPr>
  </w:style>
  <w:style w:type="character" w:customStyle="1" w:styleId="CitationCar">
    <w:name w:val="Citation Car"/>
    <w:basedOn w:val="Policepardfaut"/>
    <w:link w:val="Citation"/>
    <w:uiPriority w:val="29"/>
    <w:rsid w:val="00B36B56"/>
    <w:rPr>
      <w:i/>
      <w:iCs/>
      <w:color w:val="404040" w:themeColor="text1" w:themeTint="BF"/>
    </w:rPr>
  </w:style>
  <w:style w:type="paragraph" w:styleId="Paragraphedeliste">
    <w:name w:val="List Paragraph"/>
    <w:basedOn w:val="Normal"/>
    <w:uiPriority w:val="34"/>
    <w:qFormat/>
    <w:rsid w:val="00B36B56"/>
    <w:pPr>
      <w:ind w:left="720"/>
      <w:contextualSpacing/>
    </w:pPr>
  </w:style>
  <w:style w:type="character" w:styleId="Accentuationintense">
    <w:name w:val="Intense Emphasis"/>
    <w:basedOn w:val="Policepardfaut"/>
    <w:uiPriority w:val="21"/>
    <w:qFormat/>
    <w:rsid w:val="00B36B56"/>
    <w:rPr>
      <w:i/>
      <w:iCs/>
      <w:color w:val="0F4761" w:themeColor="accent1" w:themeShade="BF"/>
    </w:rPr>
  </w:style>
  <w:style w:type="paragraph" w:styleId="Citationintense">
    <w:name w:val="Intense Quote"/>
    <w:basedOn w:val="Normal"/>
    <w:next w:val="Normal"/>
    <w:link w:val="CitationintenseCar"/>
    <w:uiPriority w:val="30"/>
    <w:qFormat/>
    <w:rsid w:val="00B36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36B56"/>
    <w:rPr>
      <w:i/>
      <w:iCs/>
      <w:color w:val="0F4761" w:themeColor="accent1" w:themeShade="BF"/>
    </w:rPr>
  </w:style>
  <w:style w:type="character" w:styleId="Rfrenceintense">
    <w:name w:val="Intense Reference"/>
    <w:basedOn w:val="Policepardfaut"/>
    <w:uiPriority w:val="32"/>
    <w:qFormat/>
    <w:rsid w:val="00B36B56"/>
    <w:rPr>
      <w:b/>
      <w:bCs/>
      <w:smallCaps/>
      <w:color w:val="0F4761" w:themeColor="accent1" w:themeShade="BF"/>
      <w:spacing w:val="5"/>
    </w:rPr>
  </w:style>
  <w:style w:type="paragraph" w:customStyle="1" w:styleId="ConBioContributorBiography">
    <w:name w:val="ConBio Contributor Biography"/>
    <w:basedOn w:val="Normal"/>
    <w:rsid w:val="0060781A"/>
    <w:pPr>
      <w:spacing w:before="120" w:after="240" w:line="480" w:lineRule="atLeast"/>
    </w:pPr>
    <w:rPr>
      <w:rFonts w:eastAsia="Times New Roman" w:cs="Times New Roman"/>
      <w:kern w:val="0"/>
      <w:szCs w:val="20"/>
      <w:lang w:val="en-US"/>
      <w14:ligatures w14:val="none"/>
    </w:rPr>
  </w:style>
  <w:style w:type="paragraph" w:customStyle="1" w:styleId="TxText">
    <w:name w:val="Tx Text"/>
    <w:basedOn w:val="Normal"/>
    <w:rsid w:val="0016791A"/>
    <w:pPr>
      <w:spacing w:after="0" w:line="480" w:lineRule="atLeast"/>
      <w:ind w:firstLine="720"/>
    </w:pPr>
    <w:rPr>
      <w:rFonts w:eastAsia="Times New Roman" w:cs="Times New Roman"/>
      <w:kern w:val="0"/>
      <w:szCs w:val="20"/>
      <w:lang w:val="en-US"/>
      <w14:ligatures w14:val="non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Lienhypertexte">
    <w:name w:val="Hyperlink"/>
    <w:basedOn w:val="Policepardfaut"/>
    <w:unhideWhenUsed/>
    <w:rsid w:val="00B154F7"/>
    <w:rPr>
      <w:color w:val="467886" w:themeColor="hyperlink"/>
      <w:u w:val="single"/>
    </w:rPr>
  </w:style>
  <w:style w:type="character" w:styleId="Mentionnonrsolue">
    <w:name w:val="Unresolved Mention"/>
    <w:basedOn w:val="Policepardfaut"/>
    <w:uiPriority w:val="99"/>
    <w:semiHidden/>
    <w:unhideWhenUsed/>
    <w:rsid w:val="00DB0675"/>
    <w:rPr>
      <w:color w:val="605E5C"/>
      <w:shd w:val="clear" w:color="auto" w:fill="E1DFDD"/>
    </w:rPr>
  </w:style>
  <w:style w:type="paragraph" w:styleId="Rvision">
    <w:name w:val="Revision"/>
    <w:hidden/>
    <w:uiPriority w:val="99"/>
    <w:semiHidden/>
    <w:rsid w:val="009360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353/jod.1999.0072" TargetMode="External"/><Relationship Id="rId5" Type="http://schemas.openxmlformats.org/officeDocument/2006/relationships/webSettings" Target="webSettings.xml"/><Relationship Id="rId10" Type="http://schemas.openxmlformats.org/officeDocument/2006/relationships/hyperlink" Target="https://doi.org/10.1093/publius/pjac008" TargetMode="External"/><Relationship Id="rId4" Type="http://schemas.openxmlformats.org/officeDocument/2006/relationships/settings" Target="settings.xml"/><Relationship Id="rId9" Type="http://schemas.openxmlformats.org/officeDocument/2006/relationships/hyperlink" Target="https://doi.org/10.1093/publius/pjy03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60A37-BA0B-48A9-8D7C-CFC9763B7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3100</Words>
  <Characters>17054</Characters>
  <Application>Microsoft Office Word</Application>
  <DocSecurity>0</DocSecurity>
  <Lines>142</Lines>
  <Paragraphs>40</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Federalism in Ibero-America: A Comparative Analysis</vt:lpstr>
      <vt:lpstr>Federalism in Ibero-America: A Comparative Analysis</vt:lpstr>
    </vt:vector>
  </TitlesOfParts>
  <Company/>
  <LinksUpToDate>false</LinksUpToDate>
  <CharactersWithSpaces>20114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Federalism in Ibero-America: A Comparative Analysis</dc:title>
  <dc:creator>MARIO KOLLING</dc:creator>
  <cp:keywords/>
  <cp:lastModifiedBy>Johanna Schnabel</cp:lastModifiedBy>
  <cp:revision>3</cp:revision>
  <dcterms:created xsi:type="dcterms:W3CDTF">2026-10-30T09:31:00Z</dcterms:created>
  <dcterms:modified xsi:type="dcterms:W3CDTF">2026-10-30T09:31:00Z</dcterms:modified>
</cp:coreProperties>
</file>